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-756285</wp:posOffset>
                </wp:positionH>
                <wp:positionV relativeFrom="margin">
                  <wp:posOffset>622935</wp:posOffset>
                </wp:positionV>
                <wp:extent cx="6838950" cy="4448175"/>
                <wp:effectExtent l="19050" t="0" r="0" b="0"/>
                <wp:wrapSquare wrapText="bothSides"/>
                <wp:docPr id="1" name="Рисунок 1" descr="MM_shadow-people-illu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MM_shadow-people-illu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838950" cy="444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argin-left:-59.55pt;mso-position-horizontal:absolute;mso-position-vertical-relative:margin;margin-top:49.05pt;mso-position-vertical:absolute;width:538.50pt;height:350.25pt;mso-wrap-distance-left:9.00pt;mso-wrap-distance-top:0.00pt;mso-wrap-distance-right:9.00pt;mso-wrap-distance-bottom:0.00pt;" stroked="f" strokeweight="0.75pt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ИНФОРМАЦИОННЫЙ ВЫПУСК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«Об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оказании услуг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сфере государственного кадастрового учета, государственной регистрации прав 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предоставления сведений из ЕГРН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ОТДЕЛ ПРАВОВОГО ОБЕСПЕЧЕНИЯ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УПРАВЛЕНИЯ РОСРЕЕСТРА ПО НОВОСИБИРСКОЙ ОБЛАСТИ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1308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Новости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одательства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ind w:left="0" w:right="0" w:firstLine="709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b/>
          <w:bCs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ind w:left="0" w:right="0" w:firstLine="709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  <w:t xml:space="preserve">1.</w:t>
      </w:r>
      <w:r>
        <w:rPr>
          <w:b/>
          <w:bCs/>
        </w:rPr>
        <w:t xml:space="preserve"> </w:t>
      </w:r>
      <w:r>
        <w:rPr>
          <w:b/>
          <w:bCs/>
        </w:rPr>
      </w:r>
      <w:hyperlink r:id="rId14" w:tooltip="https://www.consultant.ru/document/cons_doc_LAW_502191/" w:history="1">
        <w:r>
          <w:rPr>
            <w:b/>
            <w:bCs/>
          </w:rPr>
          <w:t xml:space="preserve">Федеральный закон от 01.04.2025 № 52-ФЗ «О внесении изменений </w:t>
        </w:r>
        <w:r>
          <w:rPr>
            <w:b/>
            <w:bCs/>
          </w:rPr>
          <w:t xml:space="preserve">в отдельные законодательные акты Российской Федерации».</w:t>
        </w:r>
      </w:hyperlink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</w:rPr>
        <w:t xml:space="preserve">Внесены изменения в порядок изменения границ сельскохозяйственных угодий в составе земель сельскохозяйственного назначения и в порядок перевода земель сельскохозяйственного назначения в другую категорию</w:t>
      </w:r>
      <w:r>
        <w:rPr>
          <w:b w:val="0"/>
          <w:bCs w:val="0"/>
        </w:rPr>
        <w:t xml:space="preserve">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Определено, в частности, что границы сельскохозяйственных угодий в составе земель сельскохозяйственного назначения устанавливаются и изменяются решениями Минсельхоза России. К решениям должны обязательно прилагаться сведения о границах таких земель, включа</w:t>
      </w:r>
      <w:r>
        <w:rPr>
          <w:b w:val="0"/>
          <w:bCs w:val="0"/>
        </w:rPr>
        <w:t xml:space="preserve">я графическое описание местоположения границ, перечень координат характерных точек этих границ в системе координат, установленной для ведения ЕГРН. Порядок установления и изменения границ сельскохозяйственных угодий в составе земель сельскохозяйственного н</w:t>
      </w:r>
      <w:r>
        <w:rPr>
          <w:b w:val="0"/>
          <w:bCs w:val="0"/>
        </w:rPr>
        <w:t xml:space="preserve">азначения устанавливается Правительством РФ.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Также установлена процедура перевода земель сельскохозяйственного назначения или земельных участков в составе таких земель в другую категорию (за исключением земель, находящихся в федеральной собственности), скорректированы особенности такого перевода, уто</w:t>
      </w:r>
      <w:r>
        <w:rPr>
          <w:b w:val="0"/>
          <w:bCs w:val="0"/>
        </w:rPr>
        <w:t xml:space="preserve">чнена процедура согласования проектов документов территориального планирования муниципального района и прочее.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Предусмотрены переходные положения в отношении перевода земель сельскохозяйственных угодий или земельных участков в составе таких земель из земель сельскохозяйственного назначения в другую категорию в целях добычи общераспространенных полезных ископаемых.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Настоящий федеральный закон вступает в силу с 1 марта 2026 года, за исключением отдельных положений, вступающих в силу с 1 января 2027 года.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  <w14:ligatures w14:val="none"/>
        </w:rPr>
      </w:r>
      <w:r>
        <w:rPr>
          <w:b/>
          <w:bCs/>
        </w:rPr>
        <w:t xml:space="preserve">2</w:t>
      </w:r>
      <w:r>
        <w:rPr>
          <w:b w:val="0"/>
          <w:bCs w:val="0"/>
        </w:rPr>
        <w:t xml:space="preserve">. </w:t>
      </w:r>
      <w:hyperlink r:id="rId15" w:tooltip="https://www.consultant.ru/document/cons_doc_LAW_501229/" w:history="1">
        <w:r>
          <w:rPr>
            <w:b/>
            <w:bCs/>
          </w:rPr>
          <w:t xml:space="preserve">Федеральный закон от 20.03.2025 № 35-ФЗ «О внесении изменений в отдельные законодательные акты Российской Федерации»</w:t>
        </w:r>
      </w:hyperlink>
      <w:r>
        <w:rPr>
          <w:b/>
          <w:bCs/>
        </w:rPr>
        <w:t xml:space="preserve">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С 31 марта уточнены особенности бесплатного предоставления в собственность отдельным категориям граждан земельных участков, находящихся в государственной или муниципальной собственности.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При предоставлении земельного участка в собственность бесплатно гражданину </w:t>
      </w:r>
      <w:hyperlink r:id="rId16" w:tooltip="https://newsletters.consultant.ru/go/?letter_id=2618&amp;url=https%3A%2F%2Flogin.consultant.ru%2Flink%2F%3Freq%3Ddoc%26base%3DLAW%26n%3D501324%26dst%3D882%26send%3D1%26email_id%3D247660%26cn%3D2618%3Aconstruction%3Ajurist&amp;scope=construction" w:history="1">
        <w:r>
          <w:rPr>
            <w:b w:val="0"/>
            <w:bCs w:val="0"/>
          </w:rPr>
          <w:t xml:space="preserve">положение</w:t>
        </w:r>
      </w:hyperlink>
      <w:r>
        <w:rPr>
          <w:b w:val="0"/>
          <w:bCs w:val="0"/>
        </w:rPr>
        <w:t xml:space="preserve"> об однократности предоставления земельных участков не применяется, если участок, ранее бесплатно предоставленный гражданину в собственность по основаниям, указанным в </w:t>
      </w:r>
      <w:hyperlink r:id="rId17" w:tooltip="https://newsletters.consultant.ru/go/?letter_id=2618&amp;url=https%3A%2F%2Flogin.consultant.ru%2Flink%2F%3Freq%3Ddoc%26base%3DLAW%26n%3D501324%26dst%3D1246%26send%3D1%26email_id%3D247660%26cn%3D2618%3Aconstruction%3Ajurist&amp;scope=construction" w:history="1">
        <w:r>
          <w:rPr>
            <w:b w:val="0"/>
            <w:bCs w:val="0"/>
          </w:rPr>
          <w:t xml:space="preserve">подпунктах 6</w:t>
        </w:r>
      </w:hyperlink>
      <w:r>
        <w:rPr>
          <w:b w:val="0"/>
          <w:bCs w:val="0"/>
        </w:rPr>
        <w:t xml:space="preserve"> и </w:t>
      </w:r>
      <w:hyperlink r:id="rId18" w:tooltip="https://newsletters.consultant.ru/go/?letter_id=2618&amp;url=https%3A%2F%2Flogin.consultant.ru%2Flink%2F%3Freq%3Ddoc%26base%3DLAW%26n%3D501324%26dst%3D463%26send%3D1%26email_id%3D247660%26cn%3D2618%3Aconstruction%3Ajurist&amp;scope=construction" w:history="1">
        <w:r>
          <w:rPr>
            <w:b w:val="0"/>
            <w:bCs w:val="0"/>
          </w:rPr>
          <w:t xml:space="preserve">7 статьи 39.5</w:t>
        </w:r>
      </w:hyperlink>
      <w:r>
        <w:rPr>
          <w:b w:val="0"/>
          <w:bCs w:val="0"/>
        </w:rPr>
        <w:t xml:space="preserve"> ЗК РФ, не может использоваться в соответствии с его целевым назначением и разрешенным использованием вследствие боевых действий или ЧС природного и техногенного характера.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Право собственности гражданина на принадлежащий ему земельный участок, использование которого в соответствии с его целевым назначением и разрешенным использованием вследствие боевых действий или ЧС природного и техногенного характера невозможно, сохраняетс</w:t>
      </w:r>
      <w:r>
        <w:rPr>
          <w:b w:val="0"/>
          <w:bCs w:val="0"/>
        </w:rPr>
        <w:t xml:space="preserve">я. Гражданин вправе отказаться от права собственности на такой земельный участок в соответствии с гражданским и земельным законодательством.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С 31 марта уточнен порядок приватизации государственного и муниципального имущества.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Установлено, что перечни федерального имущества, которое приватизируется без включения в прогнозный план (программу) приватизации федерального имущества на плановый период на срок от одного года до трех лет, </w:t>
      </w:r>
      <w:hyperlink r:id="rId19" w:tooltip="https://newsletters.consultant.ru/go/?letter_id=2618&amp;url=https%3A%2F%2Flogin.consultant.ru%2Flink%2F%3Freq%3Ddoc%26base%3DLAW%26n%3D501229%26dst%3D100032%26send%3D1%26email_id%3D247660%26cn%3D2618%3Aconstruction%3Ajurist&amp;scope=construction" w:history="1">
        <w:r>
          <w:rPr>
            <w:b w:val="0"/>
            <w:bCs w:val="0"/>
          </w:rPr>
          <w:t xml:space="preserve">утверждаются</w:t>
        </w:r>
      </w:hyperlink>
      <w:r>
        <w:rPr>
          <w:b w:val="0"/>
          <w:bCs w:val="0"/>
        </w:rPr>
        <w:t xml:space="preserve"> в отношении имущества, рыночная стоимость которого не превышает 100 млн рублей (за исключением акций и долей в уставных капиталах хозяйственных обществ, а также имущества, подлежащего внесению в качестве вклада в уставные капиталы акционерных обществ):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Росимуществом, если рыночная стоимость, определенная в соответствии с законодательством об оценочной деятельности, не превышает 50 млн рублей;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Минфином России, если рыночная стоимость, определенная в соответствии с законодательством об оценочной деятельности, превышает 50 млн рублей и не превышает 100 млн рублей.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Действие указанных положений </w:t>
      </w:r>
      <w:hyperlink r:id="rId20" w:tooltip="https://newsletters.consultant.ru/go/?letter_id=2618&amp;url=https%3A%2F%2Flogin.consultant.ru%2Flink%2F%3Freq%3Ddoc%26base%3DLAW%26n%3D501229%26dst%3D100094%26send%3D1%26email_id%3D247660%26cn%3D2618%3Aconstruction%3Ajurist&amp;scope=construction" w:history="1">
        <w:r>
          <w:rPr>
            <w:b w:val="0"/>
            <w:bCs w:val="0"/>
          </w:rPr>
          <w:t xml:space="preserve">не распространяется</w:t>
        </w:r>
      </w:hyperlink>
      <w:r>
        <w:rPr>
          <w:b w:val="0"/>
          <w:bCs w:val="0"/>
        </w:rPr>
        <w:t xml:space="preserve"> на федеральное имущество, включенное в перечень федерального имущества, которое приватизируется без включения в прогнозный план (программу) приватизации федерального имущества на плановый период, по состоянию на 31 марта 2025 года.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Кроме того, дополнены общие </w:t>
      </w:r>
      <w:hyperlink r:id="rId21" w:tooltip="https://newsletters.consultant.ru/go/?letter_id=2618&amp;url=https%3A%2F%2Flogin.consultant.ru%2Flink%2F%3Freq%3Ddoc%26base%3DLAW%26n%3D501325%26dst%3D804%26send%3D1%26email_id%3D247660%26cn%3D2618%3Aconstruction%3Ajurist&amp;scope=construction" w:history="1">
        <w:r>
          <w:rPr>
            <w:b w:val="0"/>
            <w:bCs w:val="0"/>
          </w:rPr>
          <w:t xml:space="preserve">положения</w:t>
        </w:r>
      </w:hyperlink>
      <w:r>
        <w:rPr>
          <w:b w:val="0"/>
          <w:bCs w:val="0"/>
        </w:rPr>
        <w:t xml:space="preserve"> о продаже государственного или муниципального имущества на аукционе. Уточнено, что государственное или муниципальное имущество может быть обременено ограничениями, предусмотренными федеральными законами, а также публичным сервитутом.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</w:r>
      <w:r>
        <w:rPr>
          <w:b/>
          <w:bCs/>
        </w:rPr>
        <w:t xml:space="preserve">3. </w:t>
      </w:r>
      <w:r>
        <w:rPr>
          <w:b/>
          <w:bCs/>
        </w:rPr>
        <w:t xml:space="preserve">Федеральный закон от 28.02.2025 № 32-ФЗ «О внесении изменений в статью 62 Федерального закона «О государственной регистрации недвижимости».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С 31 марта правообладателям объектов недвижимости не предоставляется информация о запросах Росфинмониторинга.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Предусмотрено, что правообладателю не предоставляется информация о случаях получения сведений об объекте недвижимого имущества, права на который у него зарегистрированы, Росфинмониторингом или его территориальными органами в связи с проводимой ими проверко</w:t>
      </w:r>
      <w:r>
        <w:rPr>
          <w:b w:val="0"/>
          <w:bCs w:val="0"/>
        </w:rPr>
        <w:t xml:space="preserve">й в целях выявления операций (сделок), связанных с легализацией (отмыванием) доходов, полученных преступным путем, или с финансированием терроризма, или с финансированием распространения оружия массового уничтожения.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Также установлено, что собственник не уведомляется о поступлении в ППК «Роскадастр» запроса от Росфинмониторинга, его территориальных органов в связи с проводимой ими проверкой в целях выявления операций (сделок), связанных с легализацией (отмыванием) дохо</w:t>
      </w:r>
      <w:r>
        <w:rPr>
          <w:b w:val="0"/>
          <w:bCs w:val="0"/>
        </w:rPr>
        <w:t xml:space="preserve">дов, полученных преступным путем, или с финансированием терроризма, или с финансированием распространения оружия массового уничтожения о предоставлении сведений, содержащихся в ЕГРН, об объекте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</w:r>
      <w:r>
        <w:rPr>
          <w:b/>
          <w:bCs/>
        </w:rPr>
        <w:t xml:space="preserve">4</w:t>
      </w:r>
      <w:r>
        <w:rPr>
          <w:b/>
          <w:bCs/>
        </w:rPr>
        <w:t xml:space="preserve">. </w:t>
      </w:r>
      <w:hyperlink r:id="rId22" w:tooltip="https://www.consultant.ru/document/cons_doc_LAW_502590/" w:history="1">
        <w:r>
          <w:rPr>
            <w:b/>
            <w:bCs/>
          </w:rPr>
          <w:t xml:space="preserve">Федеральный закон от 07.04.2025 № 68-ФЗ «О внесении изменений в Федеральный закон «О публично-правовой компании «Фонд развития территорий» и о внесении изменений в отдельные законодательные акты Российской Федерации» и статью 6 Федерального закона «О внесе</w:t>
        </w:r>
        <w:r>
          <w:rPr>
            <w:b/>
            <w:bCs/>
          </w:rPr>
          <w:t xml:space="preserve">нии изменений в Федеральный закон «О несостоятельности (банкротстве)» и отдельные законодательные акты Российской Федерации».</w:t>
        </w:r>
      </w:hyperlink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Фонд развития территорий сможет продавать земельные участки обанкротившихся застройщиков без торгов.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Речь идет о земельных участках с находящимися на них объектами незавершенного строительства, неотделимыми улучшениями, переданных публично-правовой компании "Фонд развития территорий" (далее - Фонд) в рамках дел о банкротстве застройщиков.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Решение о реализации прав на указанное имущество путем продажи субъекту РФ принимается Фондом на основании ходатайства высшего должностного лица субъекта РФ.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Закреплены случаи, в которых Фонд вправе отказать в реализации прав на имущество путем продажи субъекту РФ. В случае же принятия Фондом положительного решения реализация прав на имущество осуществляется без проведения торгов на основании договора или догов</w:t>
      </w:r>
      <w:r>
        <w:rPr>
          <w:b w:val="0"/>
          <w:bCs w:val="0"/>
        </w:rPr>
        <w:t xml:space="preserve">оров, заключаемых между Фондом и субъектом РФ. Цена продажи прав на такое имущество определяется на основании отчета оценщика, привлекаемого Фондом.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Предусмотрены особенности распределения денежных средств, полученных от реализации прав на указанное имущество, между Фондом и бюджетом субъекта РФ.</w:t>
      </w:r>
      <w:r>
        <w:rPr>
          <w:b w:val="0"/>
          <w:bCs w:val="0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</w:r>
      <w:r>
        <w:rPr>
          <w:b/>
          <w:bCs/>
        </w:rPr>
      </w:r>
      <w:r>
        <w:rPr>
          <w:b/>
          <w:bCs/>
          <w14:ligatures w14:val="none"/>
        </w:rPr>
      </w:r>
    </w:p>
    <w:p>
      <w:pPr>
        <w:jc w:val="both"/>
        <w:rPr>
          <w:b/>
          <w:bCs/>
          <w14:ligatures w14:val="none"/>
        </w:rPr>
      </w:pPr>
      <w:r>
        <w:rPr>
          <w:b/>
          <w:bCs/>
        </w:rPr>
      </w:r>
      <w:r>
        <w:rPr>
          <w:b/>
          <w:bCs/>
        </w:rPr>
        <w:t xml:space="preserve">5.</w:t>
      </w:r>
      <w:r>
        <w:rPr>
          <w:b/>
          <w:bCs/>
        </w:rPr>
        <w:t xml:space="preserve"> </w:t>
      </w:r>
      <w:r>
        <w:rPr>
          <w:b/>
          <w:bCs/>
        </w:rPr>
        <w:t xml:space="preserve">Федеральный закон от</w:t>
      </w:r>
      <w:r>
        <w:rPr>
          <w:b/>
          <w:bCs/>
        </w:rPr>
        <w:t xml:space="preserve"> </w:t>
      </w:r>
      <w:r>
        <w:rPr>
          <w:b/>
          <w:bCs/>
        </w:rPr>
        <w:t xml:space="preserve">21.04.2025 № 94-ФЗ «О внесении изменений в Федеральный закон «Об электронной подписи».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Расширяется перечень лиц, которым может быть выдан сертификат ключа проверки электронной подписи.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Так, подписанным законом для государственных органов предусмотрена возможность обратиться в удостоверяющий центр с заявлением на выдачу сертификата ключа проверки электронной подписи.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На Федеральное казначейство возложены полномочия по формированию и ведению в качестве государственного информационного ресурса перечня государственных органов, сведения о которых не включены в единый государственный реестр юридических лиц, а также по хране</w:t>
      </w:r>
      <w:r>
        <w:rPr>
          <w:b w:val="0"/>
          <w:bCs w:val="0"/>
        </w:rPr>
        <w:t xml:space="preserve">нию и обеспечению круглосуточного беспрепятственного доступа к такому перечню.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При выдаче квалифицированного сертификата аккредитованный удостоверяющий центр будет обязан установить наименование и адрес государственного органа, включенного в вышеназванный перечень, а также получить от лица, выступающего от имени заявителя - государст</w:t>
      </w:r>
      <w:r>
        <w:rPr>
          <w:b w:val="0"/>
          <w:bCs w:val="0"/>
        </w:rPr>
        <w:t xml:space="preserve">венного органа, подтверждение правомочия обращаться за получением квалифицированного сертификата.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Федеральный закон вступает в силу с 1 сентября 2025 года.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  <w:t xml:space="preserve">6. </w:t>
      </w:r>
      <w:r>
        <w:rPr>
          <w:b/>
          <w:bCs/>
        </w:rPr>
        <w:t xml:space="preserve">Постановление Правительства РФ от 12.04.2025 № 486 «Об установлении случаев, при которых для строительства, реконструкции объекта</w:t>
      </w:r>
      <w:r>
        <w:rPr>
          <w:b/>
          <w:bCs/>
        </w:rPr>
        <w:t xml:space="preserve"> капитального строительства не требуется подготовка рабочей документации».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Определены случаи, когда на объекты капитального строительства не нужна рабочая документация.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Если для постройки, реконструкции капитального объекта не надо получать разрешение на строительство либо проводить экспертизу проекта (результатов инженерных изысканий), то достаточно подготовить только проектную документацию. </w:t>
      </w:r>
      <w:hyperlink r:id="rId23" w:tooltip="https://newsletters.consultant.ru/go/?letter_id=2652&amp;url=https%3A%2F%2Flogin.consultant.ru%2Flink%2F%3Freq%3Ddoc%26base%3DLAW%26n%3D503057%26dst%3D100005%26send%3D1%26email_id%3D247660%26cn%3D2652%3Aconstruction%3Ajurist&amp;scope=construction" w:history="1">
        <w:r>
          <w:rPr>
            <w:b w:val="0"/>
            <w:bCs w:val="0"/>
          </w:rPr>
          <w:t xml:space="preserve">Новшество</w:t>
        </w:r>
      </w:hyperlink>
      <w:r>
        <w:rPr>
          <w:b w:val="0"/>
          <w:bCs w:val="0"/>
        </w:rPr>
        <w:t xml:space="preserve"> заработало 20 апреля 2025 года.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По общему правилу при возведении, реконструкции любых объектов капстроительства </w:t>
      </w:r>
      <w:hyperlink r:id="rId24" w:tooltip="https://newsletters.consultant.ru/go/?letter_id=2652&amp;url=https%3A%2F%2Flogin.consultant.ru%2Flink%2F%3Freq%3Ddoc%26base%3DLAW%26n%3D481298%26dst%3D4637%26send%3D1%26email_id%3D247660%26cn%3D2652%3Aconstruction%3Ajurist&amp;scope=construction" w:history="1">
        <w:r>
          <w:rPr>
            <w:b w:val="0"/>
            <w:bCs w:val="0"/>
          </w:rPr>
          <w:t xml:space="preserve">необходимо разрабатывать</w:t>
        </w:r>
      </w:hyperlink>
      <w:r>
        <w:rPr>
          <w:b w:val="0"/>
          <w:bCs w:val="0"/>
        </w:rPr>
        <w:t xml:space="preserve"> как проектную, так и рабочую документацию. Вместе с тем в ряде ситуаций это затягивает сроки выполнения работ.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Чтобы снизить финансовые и временные затраты для застройщиков отдельных объектов и </w:t>
      </w:r>
      <w:hyperlink r:id="rId25" w:tooltip="https://newsletters.consultant.ru/go/?letter_id=2652&amp;url=https%3A%2F%2Flogin.consultant.ru%2Flink%2F%3Freq%3Ddoc%26base%3DLAW%26n%3D425136%26dst%3D100056%26send%3D1%26email_id%3D247660%26cn%3D2652%3Aconstruction%3Ajurist&amp;scope=construction" w:history="1">
        <w:r>
          <w:rPr>
            <w:b w:val="0"/>
            <w:bCs w:val="0"/>
          </w:rPr>
          <w:t xml:space="preserve">сократить</w:t>
        </w:r>
      </w:hyperlink>
      <w:r>
        <w:rPr>
          <w:b w:val="0"/>
          <w:bCs w:val="0"/>
        </w:rPr>
        <w:t xml:space="preserve"> период инвестиционно-строительного цикла, правительство наделили </w:t>
      </w:r>
      <w:hyperlink r:id="rId26" w:tooltip="https://newsletters.consultant.ru/go/?letter_id=2652&amp;url=https%3A%2F%2Flogin.consultant.ru%2Flink%2F%3Freq%3Ddoc%26base%3DLAW%26n%3D481298%26dst%3D4636%26send%3D1%26email_id%3D247660%26cn%3D2652%3Aconstruction%3Ajurist&amp;scope=construction" w:history="1">
        <w:r>
          <w:rPr>
            <w:b w:val="0"/>
            <w:bCs w:val="0"/>
          </w:rPr>
          <w:t xml:space="preserve">полномочием</w:t>
        </w:r>
      </w:hyperlink>
      <w:r>
        <w:rPr>
          <w:b w:val="0"/>
          <w:bCs w:val="0"/>
        </w:rPr>
        <w:t xml:space="preserve"> определять случаи, когда рабочая документация не требуется.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</w:rPr>
      </w:r>
      <w:r>
        <w:rPr>
          <w:b/>
          <w:bCs/>
        </w:rPr>
        <w:t xml:space="preserve">7</w:t>
      </w:r>
      <w:r>
        <w:rPr>
          <w:b/>
          <w:bCs/>
        </w:rPr>
        <w:t xml:space="preserve">. </w:t>
      </w:r>
      <w:r>
        <w:rPr>
          <w:b w:val="0"/>
          <w:bCs w:val="0"/>
        </w:rPr>
      </w:r>
      <w:hyperlink r:id="rId27" w:tooltip="https://www.consultant.ru/document/cons_doc_LAW_502508/" w:history="1">
        <w:r>
          <w:rPr>
            <w:b/>
            <w:bCs/>
          </w:rPr>
          <w:t xml:space="preserve">П</w:t>
        </w:r>
        <w:r>
          <w:rPr>
            <w:b/>
            <w:bCs/>
          </w:rPr>
          <w:t xml:space="preserve">риказ Казначейс</w:t>
        </w:r>
        <w:r>
          <w:rPr>
            <w:b/>
            <w:bCs/>
          </w:rPr>
          <w:t xml:space="preserve">тва России от 05.12.2024 № 21н «О внесении изменений в Порядок ведения Государственной информационной системы о государственных и муниципальных платежах, утвержденный Приказом Федерального казначейства от 12 мая 2017 г. № 11н» (Зарегистриро</w:t>
        </w:r>
        <w:r>
          <w:rPr>
            <w:b/>
            <w:bCs/>
          </w:rPr>
          <w:t xml:space="preserve">вано в Минюсте России 03.04.2025 N 81735)</w:t>
        </w:r>
      </w:hyperlink>
      <w:r>
        <w:rPr>
          <w:b/>
          <w:bCs/>
          <w14:ligatures w14:val="none"/>
        </w:rPr>
        <w:t xml:space="preserve">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Увершенствован порядок доступа к Государственной информационной системе о государственных и муниципальных платежах (ГИС ГМП).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Внесены дополнения, предусматривающие расширение состава участников ГИС ГМП. Уточнен перечень документов, прилагаемых участником к заявке на регистрацию в системе. Исключены положения, предусматривающие предоставление документов на бумажном носителе.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Теперь документы, представляемые в ТОФК участником прямого взаимодействия при регистрации в ГИС ГМП, внесении изменений в сведения или прекращении доступа к системе, будут храниться в электронном деле участника ГИС ГМП.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Кроме того, участникам предоставлена возможность направления информации (ее уточнения) для уплаты денежных средств с использованием СПБ платежной системы Банка России посредством личного кабинета.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hyperlink r:id="rId28" w:tooltip="https://www.consultant.ru/document/cons_doc_LAW_502324/" w:history="1">
        <w:r>
          <w:rPr>
            <w:b/>
            <w:bCs/>
          </w:rPr>
          <w:t xml:space="preserve">8. </w:t>
        </w:r>
        <w:r>
          <w:rPr>
            <w:b/>
            <w:bCs/>
          </w:rPr>
          <w:t xml:space="preserve">Приказ Росреестра от 26.02.2025 № П/0045/25 «Об утверждении примерной формы извещения о предстоящем выделе в натуре доли в праве общей долевой собственности и об осуществлении согласования местоположения машино-места с участниками общей долевой собственнос</w:t>
        </w:r>
        <w:r>
          <w:rPr>
            <w:b/>
            <w:bCs/>
          </w:rPr>
          <w:t xml:space="preserve">ти» (Зарегистрировано в Минюсте России 01.04.2025                    № 81710)</w:t>
        </w:r>
      </w:hyperlink>
      <w:r>
        <w:rPr>
          <w:b/>
          <w:bCs/>
          <w14:ligatures w14:val="none"/>
        </w:rPr>
        <w:t xml:space="preserve">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Установлена примерная форма извещения о предстоящем выделе в натуре доли в праве общей долевой собственности и об осуществлении согласования местоположения машино-места с участниками общей долевой собственности.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ind w:left="0" w:right="0" w:firstLine="709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  <w:t xml:space="preserve">Форма утверждена в соответствии с Федеральным законом от 23.11.2024 № 403-ФЗ «О внесении изменений в статью 6 Федерального закона «О внесении изменений в часть первую Гражданского кодекса Российской Федерации и отдельные законодательные акты Российской Фед</w:t>
      </w:r>
      <w:r>
        <w:rPr>
          <w:b w:val="0"/>
          <w:bCs w:val="0"/>
        </w:rPr>
        <w:t xml:space="preserve">ерации» и Федеральный закон «О государственной регистрации недвижимости».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ectPr>
          <w:headerReference w:type="default" r:id="rId9"/>
          <w:headerReference w:type="first" r:id="rId10"/>
          <w:footerReference w:type="first" r:id="rId11"/>
          <w:footnotePr/>
          <w:endnotePr/>
          <w:type w:val="continuous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shd w:val="nil" w:color="auto"/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  <w:suppressLineNumbers w:val="0"/>
      </w:pP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  <w:r>
        <w:rPr>
          <w:rFonts w:ascii="Times New Roman" w:hAnsi="Times New Roman" w:eastAsia="Calibri" w:cs="Times New Roman"/>
          <w:b w:val="0"/>
          <w:bCs w:val="0"/>
          <w:color w:val="000000"/>
          <w:sz w:val="28"/>
          <w:szCs w:val="28"/>
          <w:highlight w:val="none"/>
          <w14:ligatures w14:val="none"/>
        </w:rPr>
      </w:r>
    </w:p>
    <w:p>
      <w:pPr>
        <w:pStyle w:val="1308"/>
        <w:ind w:left="1069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нформационные письма и разъяснения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сфере государственного кадастрового учета и (или) государственной регистрации 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ав, материалы судебной практики</w:t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pStyle w:val="1308"/>
        <w:ind w:left="1069"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shd w:val="clear" w:color="auto" w:fill="ffffff"/>
          <w:lang w:eastAsia="ru-RU"/>
        </w:rPr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1.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Дайджест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законодательных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изменений в сфере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земли и недвижимости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1 квартал 2025 года.</w: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ind w:left="0" w:right="539" w:firstLine="709"/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257552" cy="4644873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9634246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 flipH="0" flipV="0">
                          <a:off x="0" y="0"/>
                          <a:ext cx="8257551" cy="464487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650.20pt;height:365.74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lang w:eastAsia="ru-RU"/>
        </w:rPr>
      </w:r>
      <w:r>
        <w:rPr>
          <w:rFonts w:eastAsia="Times New Roman"/>
          <w:b/>
          <w:bCs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129733" cy="5135475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097325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 flipH="0" flipV="0">
                          <a:off x="0" y="0"/>
                          <a:ext cx="9129732" cy="51354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18.88pt;height:404.37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43466" cy="5030700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082383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 flipH="0" flipV="0">
                          <a:off x="0" y="0"/>
                          <a:ext cx="8943465" cy="50306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704.21pt;height:396.12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23866" cy="5019675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7363666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 flipH="0" flipV="0">
                          <a:off x="0" y="0"/>
                          <a:ext cx="8923865" cy="50196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702.67pt;height:395.25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28133" cy="5078325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08221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 flipH="0" flipV="0">
                          <a:off x="0" y="0"/>
                          <a:ext cx="9028132" cy="50783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710.88pt;height:399.87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62000" cy="5097375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699296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 flipH="0" flipV="0">
                          <a:off x="0" y="0"/>
                          <a:ext cx="9061998" cy="50973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713.54pt;height:401.37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28133" cy="507832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9473745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 flipH="0" flipV="0">
                          <a:off x="0" y="0"/>
                          <a:ext cx="9028132" cy="50783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710.88pt;height:399.87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43466" cy="5030700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34789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 flipH="0" flipV="0">
                          <a:off x="0" y="0"/>
                          <a:ext cx="8943465" cy="50306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704.21pt;height:396.12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45067" cy="5087850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351280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 flipH="0" flipV="0">
                          <a:off x="0" y="0"/>
                          <a:ext cx="9045065" cy="50878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712.21pt;height:400.62pt;mso-wrap-distance-left:0.00pt;mso-wrap-distance-top:0.00pt;mso-wrap-distance-right:0.00pt;mso-wrap-distance-bottom:0.00pt;" stroked="false">
                <v:path textboxrect="0,0,0,0"/>
                <v:imagedata r:id="rId37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11200" cy="5068800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88991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 flipH="0" flipV="0">
                          <a:off x="0" y="0"/>
                          <a:ext cx="9011198" cy="5068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709.54pt;height:399.12pt;mso-wrap-distance-left:0.00pt;mso-wrap-distance-top:0.00pt;mso-wrap-distance-right:0.00pt;mso-wrap-distance-bottom:0.00pt;" stroked="false">
                <v:path textboxrect="0,0,0,0"/>
                <v:imagedata r:id="rId38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28133" cy="5078325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8623344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 flipH="0" flipV="0">
                          <a:off x="0" y="0"/>
                          <a:ext cx="9028132" cy="50783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710.88pt;height:399.87pt;mso-wrap-distance-left:0.00pt;mso-wrap-distance-top:0.00pt;mso-wrap-distance-right:0.00pt;mso-wrap-distance-bottom:0.00pt;" stroked="false">
                <v:path textboxrect="0,0,0,0"/>
                <v:imagedata r:id="rId39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95867" cy="5116425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0068621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 flipH="0" flipV="0">
                          <a:off x="0" y="0"/>
                          <a:ext cx="9095865" cy="51164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716.21pt;height:402.87pt;mso-wrap-distance-left:0.00pt;mso-wrap-distance-top:0.00pt;mso-wrap-distance-right:0.00pt;mso-wrap-distance-bottom:0.00pt;" stroked="false">
                <v:path textboxrect="0,0,0,0"/>
                <v:imagedata r:id="rId40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08210" cy="5010868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584223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 flipH="0" flipV="0">
                          <a:off x="0" y="0"/>
                          <a:ext cx="8908209" cy="501086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701.43pt;height:394.56pt;mso-wrap-distance-left:0.00pt;mso-wrap-distance-top:0.00pt;mso-wrap-distance-right:0.00pt;mso-wrap-distance-bottom:0.00pt;" stroked="false">
                <v:path textboxrect="0,0,0,0"/>
                <v:imagedata r:id="rId41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32035" cy="5080519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6802959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 flipH="0" flipV="0">
                          <a:off x="0" y="0"/>
                          <a:ext cx="9032033" cy="50805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711.18pt;height:400.04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774860" cy="4935858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7011570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 flipH="0" flipV="0">
                          <a:off x="0" y="0"/>
                          <a:ext cx="8774858" cy="493585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690.93pt;height:388.65pt;mso-wrap-distance-left:0.00pt;mso-wrap-distance-top:0.00pt;mso-wrap-distance-right:0.00pt;mso-wrap-distance-bottom:0.00pt;" stroked="false">
                <v:path textboxrect="0,0,0,0"/>
                <v:imagedata r:id="rId43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pStyle w:val="1349"/>
        <w:ind w:left="-142" w:firstLine="851"/>
        <w:spacing w:line="259" w:lineRule="auto"/>
        <w:rPr>
          <w:highlight w:val="none"/>
        </w:rPr>
      </w:pPr>
      <w:r>
        <w:rPr>
          <w:rFonts w:eastAsia="Times New Roman"/>
          <w:b/>
          <w:lang w:eastAsia="ru-RU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1349"/>
        <w:ind w:left="-142" w:firstLine="851"/>
        <w:spacing w:line="259" w:lineRule="auto"/>
        <w:rPr>
          <w:b/>
          <w:bCs/>
        </w:rPr>
        <w:sectPr>
          <w:footnotePr/>
          <w:endnotePr/>
          <w:type w:val="nextPage"/>
          <w:pgSz w:w="16838" w:h="11906" w:orient="landscape"/>
          <w:pgMar w:top="1701" w:right="1134" w:bottom="850" w:left="1134" w:header="709" w:footer="709" w:gutter="0"/>
          <w:cols w:num="1" w:sep="0" w:space="708" w:equalWidth="1"/>
          <w:docGrid w:linePitch="360"/>
        </w:sect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shd w:val="nil" w:color="000000"/>
      </w:pPr>
      <w:r>
        <w:rPr>
          <w:b/>
          <w:bCs/>
          <w:sz w:val="28"/>
          <w:szCs w:val="28"/>
          <w:highlight w:val="none"/>
        </w:rPr>
        <w:t xml:space="preserve">2</w:t>
      </w:r>
      <w:r>
        <w:rPr>
          <w:rFonts w:eastAsia="Times New Roman"/>
          <w:b/>
          <w:lang w:eastAsia="ru-RU"/>
        </w:rPr>
        <w:t xml:space="preserve">. </w:t>
      </w:r>
      <w:r>
        <w:rPr>
          <w:b/>
        </w:rPr>
        <w:t xml:space="preserve">Информационное </w:t>
      </w:r>
      <w:r>
        <w:rPr>
          <w:b/>
        </w:rPr>
        <w:t xml:space="preserve">письмо</w:t>
      </w:r>
      <w:r>
        <w:rPr>
          <w:b/>
          <w:bCs/>
          <w:sz w:val="28"/>
          <w:szCs w:val="28"/>
          <w:highlight w:val="none"/>
        </w:rPr>
        <w:t xml:space="preserve"> Росреестра от </w:t>
      </w:r>
      <w:r>
        <w:rPr>
          <w:b/>
          <w:bCs/>
          <w:sz w:val="28"/>
          <w:szCs w:val="28"/>
          <w:highlight w:val="none"/>
        </w:rPr>
        <w:t xml:space="preserve">24.03.2025</w:t>
      </w:r>
      <w:r>
        <w:rPr>
          <w:b/>
          <w:bCs/>
          <w:sz w:val="28"/>
          <w:szCs w:val="28"/>
          <w:highlight w:val="none"/>
        </w:rPr>
        <w:t xml:space="preserve">                                № </w:t>
      </w:r>
      <w:r>
        <w:rPr>
          <w:b/>
          <w:bCs/>
          <w:sz w:val="28"/>
          <w:szCs w:val="28"/>
          <w:highlight w:val="none"/>
        </w:rPr>
        <w:t xml:space="preserve">14-2668-ТГ/25</w:t>
      </w:r>
      <w:r>
        <w:rPr>
          <w:b/>
          <w:bCs/>
          <w:sz w:val="28"/>
          <w:szCs w:val="28"/>
          <w:highlight w:val="none"/>
        </w:rPr>
        <w:t xml:space="preserve"> </w:t>
      </w:r>
      <w:r>
        <w:rPr>
          <w:b/>
          <w:bCs/>
          <w:sz w:val="28"/>
          <w:szCs w:val="28"/>
          <w:highlight w:val="none"/>
        </w:rPr>
        <w:t xml:space="preserve">по вопросу о возможности постановки</w:t>
      </w:r>
      <w:r>
        <w:rPr>
          <w:b/>
          <w:bCs/>
          <w:sz w:val="28"/>
          <w:szCs w:val="28"/>
          <w:highlight w:val="none"/>
        </w:rPr>
        <w:t xml:space="preserve"> на государственный кадастровый учет земельных участков, границы которых </w:t>
      </w:r>
      <w:r>
        <w:rPr>
          <w:b/>
          <w:bCs/>
          <w:sz w:val="28"/>
          <w:szCs w:val="28"/>
          <w:highlight w:val="none"/>
        </w:rPr>
        <w:t xml:space="preserve">пересекают береговую полосу водного объекта, учитывая, что в </w:t>
      </w:r>
      <w:r>
        <w:rPr>
          <w:b/>
          <w:bCs/>
          <w:sz w:val="28"/>
          <w:szCs w:val="28"/>
          <w:highlight w:val="none"/>
        </w:rPr>
        <w:t xml:space="preserve">ЕГРН сведения о границах </w:t>
      </w:r>
      <w:r>
        <w:rPr>
          <w:b/>
          <w:bCs/>
          <w:sz w:val="28"/>
          <w:szCs w:val="28"/>
          <w:highlight w:val="none"/>
        </w:rPr>
        <w:t xml:space="preserve">береговой полосы не вносятся и действующим законодательством не установлены </w:t>
      </w:r>
      <w:r>
        <w:rPr>
          <w:b/>
          <w:bCs/>
          <w:sz w:val="28"/>
          <w:szCs w:val="28"/>
          <w:highlight w:val="none"/>
        </w:rPr>
        <w:t xml:space="preserve">запреты на предоставление соответствующих земельных участков во временное </w:t>
      </w:r>
      <w:r>
        <w:rPr>
          <w:b/>
          <w:bCs/>
          <w:sz w:val="28"/>
          <w:szCs w:val="28"/>
          <w:highlight w:val="none"/>
        </w:rPr>
        <w:t xml:space="preserve">владение и пользование, а также на государственную регистрацию</w:t>
      </w:r>
      <w:r>
        <w:rPr>
          <w:b/>
          <w:bCs/>
          <w:sz w:val="28"/>
          <w:szCs w:val="28"/>
          <w:highlight w:val="none"/>
        </w:rPr>
        <w:t xml:space="preserve"> права публичной собственности на такие земельные участки</w:t>
      </w:r>
      <w:r>
        <w:t xml:space="preserve">.</w:t>
      </w:r>
      <w:r/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030536" cy="7115774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639724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 flipH="0" flipV="0">
                          <a:off x="0" y="0"/>
                          <a:ext cx="5030534" cy="71157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396.11pt;height:560.30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37591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4232483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  <w14:ligatures w14:val="none"/>
        </w:rPr>
      </w:pPr>
      <w:r>
        <w:rPr>
          <w:b/>
          <w:bCs/>
          <w:sz w:val="28"/>
          <w:szCs w:val="28"/>
          <w:highlight w:val="none"/>
        </w:rPr>
        <w:t xml:space="preserve">3</w:t>
      </w:r>
      <w:r>
        <w:rPr>
          <w:rFonts w:eastAsia="Times New Roman"/>
          <w:b/>
          <w:lang w:eastAsia="ru-RU"/>
        </w:rPr>
        <w:t xml:space="preserve">. </w:t>
      </w:r>
      <w:r>
        <w:rPr>
          <w:b/>
        </w:rPr>
        <w:t xml:space="preserve">Информационное </w:t>
      </w:r>
      <w:r>
        <w:rPr>
          <w:b/>
          <w:bCs/>
          <w:sz w:val="28"/>
          <w:szCs w:val="28"/>
          <w:highlight w:val="none"/>
        </w:rPr>
        <w:t xml:space="preserve">письмо</w:t>
      </w:r>
      <w:r>
        <w:rPr>
          <w:b/>
          <w:bCs/>
          <w:sz w:val="28"/>
          <w:szCs w:val="28"/>
          <w:highlight w:val="none"/>
        </w:rPr>
        <w:t xml:space="preserve"> Росреестра о</w:t>
      </w:r>
      <w:r>
        <w:rPr>
          <w:b/>
          <w:bCs/>
          <w:sz w:val="28"/>
          <w:szCs w:val="28"/>
          <w:highlight w:val="none"/>
          <w:lang w:eastAsia="en-US"/>
        </w:rPr>
        <w:t xml:space="preserve">т </w:t>
      </w:r>
      <w:r>
        <w:rPr>
          <w:b/>
          <w:bCs/>
          <w:sz w:val="28"/>
          <w:szCs w:val="28"/>
          <w:highlight w:val="none"/>
          <w:lang w:eastAsia="en-US"/>
        </w:rPr>
        <w:t xml:space="preserve">25.03.2025 </w:t>
      </w:r>
      <w:r>
        <w:rPr>
          <w:b/>
          <w:bCs/>
          <w:sz w:val="28"/>
          <w:szCs w:val="28"/>
          <w:highlight w:val="none"/>
          <w:lang w:eastAsia="en-US"/>
        </w:rPr>
        <w:t xml:space="preserve">                               № </w:t>
      </w:r>
      <w:r>
        <w:rPr>
          <w:b/>
          <w:bCs/>
          <w:sz w:val="28"/>
          <w:szCs w:val="28"/>
          <w:highlight w:val="none"/>
          <w:lang w:eastAsia="en-US"/>
        </w:rPr>
        <w:t xml:space="preserve">1</w:t>
      </w:r>
      <w:r>
        <w:rPr>
          <w:b/>
          <w:bCs/>
          <w:sz w:val="28"/>
          <w:szCs w:val="28"/>
          <w:highlight w:val="none"/>
          <w:lang w:eastAsia="en-US"/>
        </w:rPr>
        <w:t xml:space="preserve">8-2705-ТГ/25</w:t>
      </w:r>
      <w:r>
        <w:rPr>
          <w:b/>
          <w:bCs/>
          <w:sz w:val="28"/>
          <w:szCs w:val="28"/>
          <w:highlight w:val="none"/>
          <w:lang w:eastAsia="en-US"/>
        </w:rPr>
        <w:t xml:space="preserve"> </w:t>
      </w:r>
      <w:r>
        <w:rPr>
          <w:b/>
          <w:bCs/>
          <w:sz w:val="28"/>
          <w:szCs w:val="28"/>
          <w:highlight w:val="none"/>
          <w:lang w:eastAsia="en-US"/>
        </w:rPr>
        <w:t xml:space="preserve">по </w:t>
      </w:r>
      <w:r>
        <w:rPr>
          <w:b/>
          <w:bCs/>
          <w:sz w:val="28"/>
          <w:szCs w:val="28"/>
          <w:highlight w:val="none"/>
          <w:lang w:eastAsia="en-US"/>
        </w:rPr>
        <w:t xml:space="preserve">вопросу</w:t>
      </w:r>
      <w:r>
        <w:rPr>
          <w:b/>
          <w:bCs/>
          <w:sz w:val="28"/>
          <w:szCs w:val="28"/>
          <w:highlight w:val="none"/>
          <w:lang w:eastAsia="en-US"/>
        </w:rPr>
        <w:t xml:space="preserve"> </w:t>
      </w:r>
      <w:r>
        <w:rPr>
          <w:b/>
          <w:bCs/>
          <w:sz w:val="28"/>
          <w:szCs w:val="28"/>
          <w:highlight w:val="none"/>
          <w:lang w:eastAsia="en-US"/>
        </w:rPr>
        <w:t xml:space="preserve">возможности уточнения сведений </w:t>
      </w:r>
      <w:r>
        <w:rPr>
          <w:b/>
          <w:bCs/>
          <w:sz w:val="28"/>
          <w:szCs w:val="28"/>
          <w:highlight w:val="none"/>
          <w:lang w:eastAsia="en-US"/>
        </w:rPr>
        <w:t xml:space="preserve">ЕГРН</w:t>
      </w:r>
      <w:r>
        <w:rPr>
          <w:b/>
          <w:bCs/>
          <w:sz w:val="28"/>
          <w:szCs w:val="28"/>
          <w:highlight w:val="none"/>
          <w:lang w:eastAsia="en-US"/>
        </w:rPr>
        <w:t xml:space="preserve"> об описании </w:t>
      </w:r>
      <w:r>
        <w:rPr>
          <w:b/>
          <w:bCs/>
          <w:sz w:val="28"/>
          <w:szCs w:val="28"/>
          <w:highlight w:val="none"/>
          <w:lang w:eastAsia="en-US"/>
        </w:rPr>
        <w:t xml:space="preserve">местоположения границ земельного участка, образованного в соответствии </w:t>
      </w:r>
      <w:r>
        <w:rPr>
          <w:b/>
          <w:bCs/>
          <w:sz w:val="28"/>
          <w:szCs w:val="28"/>
          <w:highlight w:val="none"/>
          <w:lang w:eastAsia="en-US"/>
        </w:rPr>
        <w:t xml:space="preserve">со схемой расположения земельного участка на кадастровом плане территории</w:t>
      </w:r>
      <w:r>
        <w:rPr>
          <w:b/>
          <w:bCs/>
          <w:sz w:val="28"/>
          <w:szCs w:val="28"/>
          <w:highlight w:val="none"/>
          <w:lang w:eastAsia="en-US"/>
        </w:rPr>
        <w:t xml:space="preserve">, в целях устранения системного смещения в ЕГРН массива </w:t>
      </w:r>
      <w:r>
        <w:rPr>
          <w:b/>
          <w:bCs/>
          <w:sz w:val="28"/>
          <w:szCs w:val="28"/>
          <w:highlight w:val="none"/>
          <w:lang w:eastAsia="en-US"/>
        </w:rPr>
        <w:t xml:space="preserve">земельных участков. </w:t>
      </w:r>
      <w:r>
        <w:rPr>
          <w:b/>
          <w:bCs/>
          <w:sz w:val="28"/>
          <w:szCs w:val="28"/>
          <w:highlight w:val="none"/>
          <w14:ligatures w14:val="none"/>
        </w:rPr>
      </w:r>
      <w:r>
        <w:rPr>
          <w:b/>
          <w:bCs/>
          <w:sz w:val="28"/>
          <w:szCs w:val="28"/>
          <w:highlight w:val="none"/>
          <w14:ligatures w14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8569" cy="7650509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637260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 flipH="0" flipV="0">
                          <a:off x="0" y="0"/>
                          <a:ext cx="5408568" cy="76505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25.87pt;height:602.40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shd w:val="nil" w:color="000000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24690" cy="8097667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868989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 flipH="0" flipV="0">
                          <a:off x="0" y="0"/>
                          <a:ext cx="5724688" cy="80976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50.76pt;height:637.61pt;mso-wrap-distance-left:0.00pt;mso-wrap-distance-top:0.00pt;mso-wrap-distance-right:0.00pt;mso-wrap-distance-bottom:0.00pt;" stroked="false">
                <v:path textboxrect="0,0,0,0"/>
                <v:imagedata r:id="rId48" o:title=""/>
              </v:shape>
            </w:pict>
          </mc:Fallback>
        </mc:AlternateConten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</w:rPr>
        <w:t xml:space="preserve">4</w:t>
      </w:r>
      <w:r>
        <w:rPr>
          <w:rFonts w:eastAsia="Times New Roman"/>
          <w:b/>
          <w:lang w:eastAsia="ru-RU"/>
        </w:rPr>
        <w:t xml:space="preserve">. </w:t>
      </w:r>
      <w:r>
        <w:rPr>
          <w:b/>
        </w:rPr>
        <w:t xml:space="preserve">Информационное письмо Росрее</w:t>
      </w:r>
      <w:r>
        <w:rPr>
          <w:rFonts w:eastAsia="Times New Roman"/>
          <w:b/>
          <w:bCs/>
          <w:highlight w:val="none"/>
          <w:lang w:eastAsia="ru-RU"/>
        </w:rPr>
        <w:t xml:space="preserve">стра от </w:t>
      </w:r>
      <w:r>
        <w:rPr>
          <w:rFonts w:eastAsia="Times New Roman"/>
          <w:b/>
          <w:bCs/>
          <w:highlight w:val="none"/>
          <w:lang w:eastAsia="ru-RU"/>
        </w:rPr>
        <w:t xml:space="preserve">31.03.2025  </w:t>
      </w:r>
      <w:r>
        <w:rPr>
          <w:rFonts w:eastAsia="Times New Roman"/>
          <w:b/>
          <w:bCs/>
          <w:highlight w:val="none"/>
          <w:lang w:eastAsia="ru-RU"/>
        </w:rPr>
        <w:t xml:space="preserve">№ 13-00443/25</w:t>
      </w:r>
      <w:r>
        <w:rPr>
          <w:rFonts w:eastAsia="Times New Roman"/>
          <w:b/>
          <w:bCs/>
          <w:highlight w:val="none"/>
          <w:lang w:eastAsia="ru-RU"/>
        </w:rPr>
        <w:t xml:space="preserve"> </w:t>
      </w:r>
      <w:r>
        <w:rPr>
          <w:rFonts w:eastAsia="Times New Roman"/>
          <w:b/>
          <w:bCs/>
          <w:highlight w:val="none"/>
          <w:lang w:eastAsia="ru-RU"/>
        </w:rPr>
        <w:t xml:space="preserve">о представлении в орган регистрации прав заявлений о государственной регистрации прав на основании свидетельства о праве на наследство в отношении зданий, сооружений, объектов незавершенного строительства, расположенных на земельных у</w:t>
      </w:r>
      <w:r>
        <w:rPr>
          <w:rFonts w:eastAsia="Times New Roman"/>
          <w:b/>
          <w:bCs/>
          <w:highlight w:val="none"/>
          <w:lang w:eastAsia="ru-RU"/>
        </w:rPr>
        <w:t xml:space="preserve">частках, сведения о местоположении границ которых в ЕГРН отсутствуют.</w: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contextualSpacing/>
        <w:ind w:left="0" w:right="0" w:firstLine="0"/>
        <w:jc w:val="center"/>
        <w:spacing w:before="0" w:after="0" w:line="240" w:lineRule="auto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Arial" w:hAnsi="Arial" w:eastAsia="Arial" w:cs="Arial"/>
          <w:b/>
          <w:color w:val="000000"/>
          <w:sz w:val="30"/>
        </w:rPr>
        <w:t xml:space="preserve">ФЕДЕРАЛЬНАЯ СЛУЖБА ГОСУДАРСТВЕННОЙ РЕГИСТРАЦИИ,</w:t>
      </w:r>
      <w:r/>
    </w:p>
    <w:p>
      <w:pPr>
        <w:contextualSpacing/>
        <w:ind w:left="0" w:right="0" w:firstLine="0"/>
        <w:jc w:val="center"/>
        <w:spacing w:before="210" w:after="0" w:line="240" w:lineRule="auto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Arial" w:hAnsi="Arial" w:eastAsia="Arial" w:cs="Arial"/>
          <w:b/>
          <w:color w:val="000000"/>
          <w:sz w:val="30"/>
        </w:rPr>
        <w:t xml:space="preserve">КАДАСТРА И КАРТОГРАФИИ</w:t>
      </w:r>
      <w:r/>
    </w:p>
    <w:p>
      <w:pPr>
        <w:contextualSpacing/>
        <w:ind w:left="0" w:right="0" w:firstLine="0"/>
        <w:jc w:val="center"/>
        <w:spacing w:before="0" w:after="0" w:line="240" w:lineRule="auto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Arial" w:hAnsi="Arial" w:eastAsia="Arial" w:cs="Arial"/>
          <w:b/>
          <w:color w:val="000000"/>
          <w:sz w:val="30"/>
        </w:rPr>
        <w:t xml:space="preserve">ПИСЬМО</w:t>
      </w:r>
      <w:r/>
    </w:p>
    <w:p>
      <w:pPr>
        <w:contextualSpacing/>
        <w:ind w:left="0" w:right="0" w:firstLine="0"/>
        <w:jc w:val="center"/>
        <w:spacing w:before="210" w:after="0" w:line="240" w:lineRule="auto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Arial" w:hAnsi="Arial" w:eastAsia="Arial" w:cs="Arial"/>
          <w:b/>
          <w:color w:val="000000"/>
          <w:sz w:val="30"/>
        </w:rPr>
        <w:t xml:space="preserve">от 31 марта 2025 г. N 13-00443/25</w:t>
      </w:r>
      <w:r/>
    </w:p>
    <w:p>
      <w:pPr>
        <w:contextualSpacing/>
        <w:ind w:left="0" w:right="0" w:firstLine="0"/>
        <w:jc w:val="center"/>
        <w:spacing w:before="0" w:after="0" w:line="240" w:lineRule="auto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Arial" w:hAnsi="Arial" w:eastAsia="Arial" w:cs="Arial"/>
          <w:b/>
          <w:color w:val="000000"/>
          <w:sz w:val="30"/>
        </w:rPr>
        <w:t xml:space="preserve">О РАССМОТРЕНИИ ОБРАЩЕНИЯ</w:t>
      </w:r>
      <w:r/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</w:rPr>
        <w:t xml:space="preserve">Управление нормативно-правового регулирования в сферах регистрации недвижимости, геодезии и картографии Росреестра (далее - Управление), рассмотрев в пределах своей компетенции обращение,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сообщает.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соответствии с </w:t>
      </w:r>
      <w:hyperlink r:id="rId49" w:tooltip="https://www.consultant.ru/document/cons_doc_LAW_493331/8e198aee276569993e5925357c44f606cb89865b/#dst16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пунктом 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Положения о Федеральной службе государственной регистрации, кадастра и картографии, утвержденного постановлением Правительства Российской Федерации от 01.06.2009 N 457 (далее - Положение), Росреестр осуществляет в том числе функции по выработке государств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енной политики и нормативно-правовому регулированию при осуществлении ведения Единого государственного реестра недвижимости (ЕГРН), государственного кадастрового учета недвижимого имущества, государственной регистрации прав на недвижимое имущество и сделок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 с ним, предоставления сведений, содержащихся в ЕГРН, кадастровой деятельности. Согласно </w:t>
      </w:r>
      <w:hyperlink r:id="rId50" w:tooltip="https://www.consultant.ru/document/cons_doc_LAW_493331/a14bd2ca3dec44a27a39d623c13302daee66d2bd/#dst10001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Положению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Росреестр не наделен полномочиями по разъяснению законодательства, а также практики его применения.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Вместе с тем по затронутым в обращении вопросам полагаем возможным отметить следующее.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силу </w:t>
      </w:r>
      <w:hyperlink r:id="rId51" w:tooltip="https://www.consultant.ru/document/cons_doc_LAW_482692/0357f6ec88e3d6d7616956dbeb6b6a07e2b393dd/#dst24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пункта 2 статьи 8.1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Гражданского кодекса Российской Федерации (далее - ГК РФ) права на имущество, подлежащие государственной регистрации, возникают, изменяются и прекращаются с момента внесения соответствующей записи в государственный реестр, если иное не установлено законом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Иной момент возникновения права установлен, в частности, для приобретения права собственности на недвижимое имущество в порядке наследования (</w:t>
      </w:r>
      <w:hyperlink r:id="rId52" w:tooltip="https://www.consultant.ru/document/cons_doc_LAW_482692/3cce1aa143725a319a736327f1fd19a11f3c3fb5/#dst10117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абзац второй пункта 2 статьи 218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и </w:t>
      </w:r>
      <w:hyperlink r:id="rId53" w:tooltip="https://www.consultant.ru/document/cons_doc_LAW_482694/835f8a821039f024986397e42daaab6de52991f1/#dst10022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пункта 4 статьи 1152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ГК РФ).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Таким образом, учитывая также </w:t>
      </w:r>
      <w:hyperlink r:id="rId54" w:tooltip="https://www.consultant.ru/document/cons_doc_LAW_219925/fd4e8ca7562b1bd37255e941b02634b90ec3e929/#dst10062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 36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Обзора судебной практики Верховного Суда Российской Федерации N 3, утвержденный Президиумом Верховного Суда Российской Федерации 12.07.2017, если наследодателю (правопредшественнику) принадлежало недвижимое имущество на праве собственности, это право пере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ходит к наследнику с момента открытия наследства.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соответствии с </w:t>
      </w:r>
      <w:hyperlink r:id="rId55" w:tooltip="https://www.consultant.ru/document/cons_doc_LAW_500103/f10dc2166d2e834a0086658226e2f96fb5f1cb5f/#dst140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пунктами 21.1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, </w:t>
      </w:r>
      <w:hyperlink r:id="rId56" w:tooltip="https://www.consultant.ru/document/cons_doc_LAW_500103/f10dc2166d2e834a0086658226e2f96fb5f1cb5f/#dst140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21.2 части 1 статьи 26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Федерального закона от 13.07.2015 N 218-ФЗ "О государственной регистрации недвижимости" (далее - Закон N 218-ФЗ) осуществление государственного кадастрового учета и (или) государственной регистрации прав приостанавливается по решению государственного реги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стратора прав в случае, если: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ЕГРН отсутствуют сведения о местоположении границ земельного участка, являющегося предметом договора, на основании которого осуществляются государственная регистрация прав, ограничение прав, обременение земельного участка, за исключением осуществления го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сударственной регистрации сервитута в отношении такого земельного участка;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ЕГРН отсутствуют сведения о местоположении границ земельного участка, на котором расположены здание, сооружение, объект незавершенного строительства (за исключением случаев, если такое сооружение является линейным объектом или такой объект незавершенного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 строительства является линейным объектом, строительство которого не завершено), для осуществления государственного кадастрового учета которых и (или) государственной регистрации прав на которые подано заявление, кроме случаев, если заявление об осуществле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нии государственного кадастрового учета и (или) государственной регистрации прав подано в связи с прекращением существования таких здания, сооружения, объекта незавершенного строительства.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Таким образом, в случае представления в орган регистрации прав заявлений о государственной регистрации прав на основании свидетельства о праве на наследство в отношении зданий, сооружений, объектов незавершенного строительства, расположенных на земельных у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частках, сведения о местоположении границ которых в ЕГРН отсутствуют, осуществление государственного кадастрового учета и (или) государственной регистрации приостанавливается в силу </w:t>
      </w:r>
      <w:hyperlink r:id="rId57" w:tooltip="https://www.consultant.ru/document/cons_doc_LAW_500103/f10dc2166d2e834a0086658226e2f96fb5f1cb5f/#dst140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пункта 21.2 части 1 статьи 26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Закона N 218-ФЗ. При этом, в случае представления в орган регистрации прав заявлений о государственной регистрации права на земельные участки, сведения о местоположении границ которых в ЕГРН отсутствуют, на основании свидетельства о праве на наследство, 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снований для приостановления осуществления регистрационных действий в соответствии с </w:t>
      </w:r>
      <w:hyperlink r:id="rId58" w:tooltip="https://www.consultant.ru/document/cons_doc_LAW_500103/f10dc2166d2e834a0086658226e2f96fb5f1cb5f/#dst140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пунктом 21.1 части 1 статьи 26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Закона N 218-ФЗ не имеется, поскольку в данном случае права возникают не на основании договора.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В соответствии с положениями </w:t>
      </w:r>
      <w:hyperlink r:id="rId59" w:tooltip="https://www.consultant.ru/document/cons_doc_LAW_500103/6c07b6c26bd6d54dd22077ca042a9a36f875d0c1/#dst10023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части 2 статьи 15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Закона N 218-ФЗ при осуществлении государственного кадастрового учета без одновременной государственной регистрации прав такой государственный кадастровый учет осуществляется по заявлению: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собственника объекта недвижимости - при государственном кадастровом учете в связи с изменением основных характеристик объекта недвижимости, за исключением случая, установ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ленного </w:t>
      </w:r>
      <w:hyperlink r:id="rId60" w:tooltip="https://www.consultant.ru/document/cons_doc_LAW_500103/6c07b6c26bd6d54dd22077ca042a9a36f875d0c1/#dst907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пунктом 4.5 части 2 статьи 15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 Закона N 218-ФЗ </w:t>
      </w:r>
      <w:hyperlink r:id="rId61" w:tooltip="https://www.consultant.ru/document/cons_doc_LAW_500103/6c07b6c26bd6d54dd22077ca042a9a36f875d0c1/#dst90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(пункт 4)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;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иного лица в случаях, установленных федеральным законом </w:t>
      </w:r>
      <w:hyperlink r:id="rId62" w:tooltip="https://www.consultant.ru/document/cons_doc_LAW_500103/6c07b6c26bd6d54dd22077ca042a9a36f875d0c1/#dst10024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30"/>
            <w:szCs w:val="30"/>
          </w:rPr>
          <w:t xml:space="preserve">(пункт 6)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b w:val="0"/>
          <w:bCs w:val="0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Учитывая изложенное, с заявлением о государственном кадастровом учете в связи с изменением основных характеристик объекта недвижимости вправе обратиться наследник, полномочия которого п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szCs w:val="30"/>
        </w:rPr>
        <w:t xml:space="preserve">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</w:rPr>
        <w:t xml:space="preserve">дтверждаются справкой об открытии наследственного дела, выданной нотар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</w:rPr>
        <w:t xml:space="preserve">иусом.</w:t>
      </w:r>
      <w:r>
        <w:rPr>
          <w:b w:val="0"/>
          <w:bCs w:val="0"/>
        </w:rPr>
      </w:r>
      <w:r>
        <w:rPr>
          <w:b w:val="0"/>
          <w:bCs w:val="0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30"/>
          <w:szCs w:val="30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</w:rPr>
        <w:t xml:space="preserve">Кроме того, полномочия наследника, подтвержденные выданной нотариусом справкой об открытии наследственного дела, позволяют ему также выступать заинтересованным лицом при согласовании местоположения границ земельного участка и подписании акта согласования м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</w:rPr>
        <w:t xml:space="preserve">естоположения границ земельного участка.</w:t>
      </w:r>
      <w:r>
        <w:rPr>
          <w:rFonts w:ascii="Times New Roman" w:hAnsi="Times New Roman" w:eastAsia="Times New Roman" w:cs="Times New Roman"/>
          <w:color w:val="000000"/>
          <w:sz w:val="30"/>
          <w:szCs w:val="30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30"/>
          <w:szCs w:val="30"/>
          <w:highlight w:val="none"/>
        </w:rPr>
      </w:r>
    </w:p>
    <w:p>
      <w:pPr>
        <w:ind w:left="0" w:right="0" w:firstLine="540"/>
        <w:spacing w:before="210" w:after="0"/>
        <w:shd w:val="clear" w:color="ffffff" w:fill="ffffff"/>
        <w:rPr>
          <w:rFonts w:ascii="Times New Roman" w:hAnsi="Times New Roman" w:eastAsia="Times New Roman" w:cs="Times New Roman"/>
          <w:sz w:val="30"/>
          <w:szCs w:val="30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30"/>
          <w:highlight w:val="none"/>
        </w:rPr>
      </w:r>
      <w:r>
        <w:rPr>
          <w:rFonts w:ascii="Times New Roman" w:hAnsi="Times New Roman" w:eastAsia="Times New Roman" w:cs="Times New Roman"/>
          <w:sz w:val="30"/>
          <w:szCs w:val="30"/>
        </w:rPr>
      </w:r>
      <w:r>
        <w:rPr>
          <w:rFonts w:ascii="Times New Roman" w:hAnsi="Times New Roman" w:eastAsia="Times New Roman" w:cs="Times New Roman"/>
          <w:sz w:val="30"/>
          <w:szCs w:val="30"/>
        </w:rPr>
      </w:r>
    </w:p>
    <w:p>
      <w:pPr>
        <w:ind w:left="0" w:right="0" w:firstLine="0"/>
        <w:jc w:val="right"/>
        <w:spacing w:before="0" w:after="0" w:line="240" w:lineRule="auto"/>
        <w:shd w:val="clear" w:color="ffffff" w:fill="ffffff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30"/>
        </w:rPr>
        <w:t xml:space="preserve">Начальник Управления</w:t>
      </w:r>
      <w:r/>
    </w:p>
    <w:p>
      <w:pPr>
        <w:ind w:left="0" w:right="0" w:firstLine="0"/>
        <w:jc w:val="right"/>
        <w:spacing w:before="0" w:after="0" w:line="240" w:lineRule="auto"/>
        <w:shd w:val="clear" w:color="ffffff" w:fill="ffffff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30"/>
        </w:rPr>
        <w:t xml:space="preserve">нормативно-правового регулирования</w:t>
      </w:r>
      <w:r/>
    </w:p>
    <w:p>
      <w:pPr>
        <w:ind w:left="0" w:right="0" w:firstLine="0"/>
        <w:jc w:val="right"/>
        <w:spacing w:before="0" w:after="0" w:line="240" w:lineRule="auto"/>
        <w:shd w:val="clear" w:color="ffffff" w:fill="ffffff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30"/>
        </w:rPr>
        <w:t xml:space="preserve">в сферах регистрации недвижимости,</w:t>
      </w:r>
      <w:r/>
    </w:p>
    <w:p>
      <w:pPr>
        <w:ind w:left="0" w:right="0" w:firstLine="0"/>
        <w:jc w:val="right"/>
        <w:spacing w:before="0" w:after="0" w:line="240" w:lineRule="auto"/>
        <w:shd w:val="clear" w:color="ffffff" w:fill="ffffff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30"/>
        </w:rPr>
        <w:t xml:space="preserve">геодезии и картографии</w:t>
      </w:r>
      <w:r/>
    </w:p>
    <w:p>
      <w:pPr>
        <w:ind w:left="0" w:right="0" w:firstLine="0"/>
        <w:jc w:val="right"/>
        <w:spacing w:before="0" w:after="0" w:line="240" w:lineRule="auto"/>
        <w:shd w:val="clear" w:color="ffffff" w:fill="ffffff"/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30"/>
        </w:rPr>
        <w:t xml:space="preserve">Э.У.ГАЛИШИН</w:t>
      </w:r>
      <w:r/>
    </w:p>
    <w:p>
      <w:pPr>
        <w:spacing w:line="240" w:lineRule="auto"/>
      </w:pPr>
      <w:r/>
      <w:r/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spacing w:line="245" w:lineRule="auto"/>
        <w:rPr>
          <w:rFonts w:eastAsia="Times New Roman"/>
          <w:b/>
          <w:bCs/>
          <w:shd w:val="clear" w:color="auto" w:fill="ffffff"/>
          <w:lang w:eastAsia="ru-RU"/>
          <w14:ligatures w14:val="none"/>
        </w:rPr>
      </w:pPr>
      <w:r>
        <w:rPr>
          <w:rFonts w:eastAsia="Times New Roman"/>
          <w:b/>
          <w:bCs/>
          <w:shd w:val="clear" w:color="auto" w:fill="ffffff"/>
          <w:lang w:eastAsia="ru-RU"/>
        </w:rPr>
        <w:t xml:space="preserve">5.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Информационное письмо Росреестра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от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08.04.2025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№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01-3289-ТГ/25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по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вопросу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снятия с государственного кадастрового учета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объектов недвижимости,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являющихся объектами культурного наследия, прекративших свое существование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,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с учетом письма Минкультуры России от 02.04.2025 № 5674-01.1-54@-АМ.</w:t>
      </w:r>
      <w:r>
        <w:rPr>
          <w:rFonts w:eastAsia="Times New Roman"/>
          <w:b/>
          <w:bCs/>
          <w:shd w:val="clear" w:color="auto" w:fill="ffffff"/>
          <w:lang w:eastAsia="ru-RU"/>
          <w14:ligatures w14:val="none"/>
        </w:rPr>
      </w:r>
      <w:r>
        <w:rPr>
          <w:rFonts w:eastAsia="Times New Roman"/>
          <w:b/>
          <w:bCs/>
          <w:shd w:val="clear" w:color="auto" w:fill="ffffff"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519149" cy="7806926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021145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 flipH="0" flipV="0">
                          <a:off x="0" y="0"/>
                          <a:ext cx="5519148" cy="78069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34.58pt;height:614.72pt;mso-wrap-distance-left:0.00pt;mso-wrap-distance-top:0.00pt;mso-wrap-distance-right:0.00pt;mso-wrap-distance-bottom:0.00pt;" stroked="false">
                <v:path textboxrect="0,0,0,0"/>
                <v:imagedata r:id="rId63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shd w:val="clear" w:color="auto" w:fill="ffffff"/>
          <w:lang w:eastAsia="ru-RU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759063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64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434941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65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61140" cy="8149226"/>
                <wp:effectExtent l="0" t="0" r="0" b="0"/>
                <wp:docPr id="2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694537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 flipH="0" flipV="0">
                          <a:off x="0" y="0"/>
                          <a:ext cx="5761139" cy="8149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53.63pt;height:641.67pt;mso-wrap-distance-left:0.00pt;mso-wrap-distance-top:0.00pt;mso-wrap-distance-right:0.00pt;mso-wrap-distance-bottom:0.00pt;" stroked="false">
                <v:path textboxrect="0,0,0,0"/>
                <v:imagedata r:id="rId66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highlight w:val="none"/>
          <w:shd w:val="clear" w:color="auto" w:fill="ffffff"/>
          <w:lang w:eastAsia="ru-RU"/>
        </w:rPr>
      </w:pPr>
      <w:r>
        <w:rPr>
          <w:rFonts w:eastAsia="Times New Roman"/>
          <w:b/>
          <w:bCs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lang w:eastAsia="ru-RU"/>
        </w:rPr>
        <w:t xml:space="preserve">6. </w:t>
      </w:r>
      <w:r>
        <w:rPr>
          <w:b/>
        </w:rPr>
        <w:t xml:space="preserve">Информационное письмо Росрее</w:t>
      </w:r>
      <w:r>
        <w:rPr>
          <w:rFonts w:eastAsia="Times New Roman"/>
          <w:b/>
          <w:bCs/>
          <w:highlight w:val="none"/>
          <w:lang w:eastAsia="ru-RU"/>
        </w:rPr>
        <w:t xml:space="preserve">стра от </w:t>
      </w:r>
      <w:r>
        <w:rPr>
          <w:rFonts w:eastAsia="Times New Roman"/>
          <w:b/>
          <w:bCs/>
          <w:highlight w:val="none"/>
          <w:lang w:eastAsia="ru-RU"/>
        </w:rPr>
        <w:t xml:space="preserve">31.03.2025 </w:t>
      </w:r>
      <w:r>
        <w:rPr>
          <w:rFonts w:eastAsia="Times New Roman"/>
          <w:b/>
          <w:bCs/>
          <w:highlight w:val="none"/>
          <w:lang w:eastAsia="ru-RU"/>
        </w:rPr>
        <w:t xml:space="preserve">№ </w:t>
      </w:r>
      <w:r>
        <w:rPr>
          <w:rFonts w:eastAsia="Times New Roman"/>
          <w:b/>
          <w:bCs/>
          <w:highlight w:val="none"/>
          <w:lang w:eastAsia="ru-RU"/>
        </w:rPr>
        <w:t xml:space="preserve">18-2988-ТГ/25 </w:t>
      </w:r>
      <w:r>
        <w:rPr>
          <w:rFonts w:eastAsia="Times New Roman"/>
          <w:b/>
          <w:bCs/>
          <w:highlight w:val="none"/>
          <w:lang w:eastAsia="ru-RU"/>
        </w:rPr>
        <w:t xml:space="preserve">о</w:t>
      </w:r>
      <w:r>
        <w:rPr>
          <w:rFonts w:eastAsia="Times New Roman"/>
          <w:b/>
          <w:bCs/>
          <w:highlight w:val="none"/>
          <w:lang w:eastAsia="ru-RU"/>
        </w:rPr>
        <w:t xml:space="preserve">б устранении пересечения границ земельных участков с границами объектов реестра границ ЕГРН</w:t>
      </w:r>
      <w:r>
        <w:rPr>
          <w:rFonts w:eastAsia="Times New Roman"/>
          <w:b/>
          <w:bCs/>
          <w:highlight w:val="none"/>
          <w:lang w:eastAsia="ru-RU"/>
        </w:rPr>
        <w:t xml:space="preserve">.</w: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38337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67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25652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68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567340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69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2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318141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70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lang w:eastAsia="ru-RU"/>
        </w:rPr>
        <w:t xml:space="preserve">7. </w:t>
      </w:r>
      <w:r>
        <w:rPr>
          <w:b/>
        </w:rPr>
        <w:t xml:space="preserve">И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нформационное письмо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филиала ППК «Роскадастр» по Новосибирской области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от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28.03.2025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№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01-18-1698/25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 назначении директора филиала ППК «Роскадастр» по Новосибирской области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.</w: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53926" cy="7714666"/>
                <wp:effectExtent l="0" t="0" r="0" b="0"/>
                <wp:docPr id="3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8048025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 flipH="0" flipV="0">
                          <a:off x="0" y="0"/>
                          <a:ext cx="5453925" cy="77146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29.44pt;height:607.45pt;mso-wrap-distance-left:0.00pt;mso-wrap-distance-top:0.00pt;mso-wrap-distance-right:0.00pt;mso-wrap-distance-bottom:0.00pt;" stroked="false">
                <v:path textboxrect="0,0,0,0"/>
                <v:imagedata r:id="rId71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spacing w:line="245" w:lineRule="auto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</w:p>
    <w:p>
      <w:pPr>
        <w:spacing w:line="245" w:lineRule="auto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pPr>
      <w:r>
        <w:rPr>
          <w:rFonts w:eastAsia="Times New Roman"/>
          <w:b/>
          <w:lang w:eastAsia="ru-RU"/>
        </w:rPr>
        <w:t xml:space="preserve">8. </w:t>
      </w:r>
      <w:r>
        <w:rPr>
          <w:b/>
        </w:rPr>
        <w:t xml:space="preserve">Информационное письмо Росрее</w:t>
      </w:r>
      <w:r>
        <w:rPr>
          <w:rFonts w:eastAsia="Times New Roman"/>
          <w:b/>
          <w:bCs/>
          <w:highlight w:val="none"/>
          <w:lang w:eastAsia="ru-RU"/>
        </w:rPr>
        <w:t xml:space="preserve">стра от </w:t>
      </w:r>
      <w:r>
        <w:rPr>
          <w:rFonts w:eastAsia="Times New Roman"/>
          <w:b/>
          <w:bCs/>
          <w:highlight w:val="none"/>
          <w:lang w:eastAsia="ru-RU"/>
        </w:rPr>
        <w:t xml:space="preserve">28.03.2025 </w:t>
      </w:r>
      <w:r>
        <w:rPr>
          <w:rFonts w:eastAsia="Times New Roman"/>
          <w:b/>
          <w:bCs/>
          <w:highlight w:val="none"/>
          <w:lang w:eastAsia="ru-RU"/>
        </w:rPr>
        <w:t xml:space="preserve">№</w:t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</w:rPr>
        <w:t xml:space="preserve"> 10-00971/25 о предоставлении сведений, содержащихся в Едином государственном реестре недвижимости, по запросам кадастровых инженеров.</w:t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0" w:line="240" w:lineRule="auto"/>
        <w:rPr>
          <w:rFonts w:ascii="Arial" w:hAnsi="Arial" w:eastAsia="Arial" w:cs="Arial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Arial" w:hAnsi="Arial" w:eastAsia="Arial" w:cs="Arial"/>
          <w:b/>
          <w:color w:val="000000"/>
          <w:sz w:val="28"/>
          <w:szCs w:val="28"/>
        </w:rPr>
        <w:t xml:space="preserve">ФЕДЕРАЛЬНАЯ СЛУЖБА ГОСУДАРСТВЕННОЙ РЕГИСТРАЦИИ,</w:t>
      </w:r>
      <w:r>
        <w:rPr>
          <w:rFonts w:ascii="Arial" w:hAnsi="Arial" w:eastAsia="Arial" w:cs="Arial"/>
          <w:sz w:val="28"/>
          <w:szCs w:val="28"/>
        </w:rPr>
      </w:r>
      <w:r>
        <w:rPr>
          <w:rFonts w:ascii="Arial" w:hAnsi="Arial" w:eastAsia="Arial" w:cs="Arial"/>
          <w:sz w:val="28"/>
          <w:szCs w:val="28"/>
        </w:rPr>
      </w:r>
    </w:p>
    <w:p>
      <w:pPr>
        <w:ind w:left="0" w:right="0" w:firstLine="0"/>
        <w:jc w:val="center"/>
        <w:spacing w:before="210" w:after="0" w:line="240" w:lineRule="auto"/>
        <w:rPr>
          <w:rFonts w:ascii="Arial" w:hAnsi="Arial" w:eastAsia="Arial" w:cs="Arial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Arial" w:hAnsi="Arial" w:eastAsia="Arial" w:cs="Arial"/>
          <w:b/>
          <w:color w:val="000000"/>
          <w:sz w:val="28"/>
          <w:szCs w:val="28"/>
        </w:rPr>
        <w:t xml:space="preserve">КАДАСТРА И КАРТОГРАФИИ</w:t>
      </w:r>
      <w:r>
        <w:rPr>
          <w:rFonts w:ascii="Arial" w:hAnsi="Arial" w:eastAsia="Arial" w:cs="Arial"/>
          <w:sz w:val="28"/>
          <w:szCs w:val="28"/>
        </w:rPr>
      </w:r>
      <w:r>
        <w:rPr>
          <w:rFonts w:ascii="Arial" w:hAnsi="Arial" w:eastAsia="Arial" w:cs="Arial"/>
          <w:sz w:val="28"/>
          <w:szCs w:val="28"/>
        </w:rPr>
      </w:r>
    </w:p>
    <w:p>
      <w:pPr>
        <w:ind w:left="0" w:right="0" w:firstLine="0"/>
        <w:jc w:val="center"/>
        <w:spacing w:before="0" w:after="0" w:line="240" w:lineRule="auto"/>
        <w:rPr>
          <w:rFonts w:ascii="Arial" w:hAnsi="Arial" w:eastAsia="Arial" w:cs="Arial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Arial" w:hAnsi="Arial" w:eastAsia="Arial" w:cs="Arial"/>
          <w:b/>
          <w:color w:val="000000"/>
          <w:sz w:val="28"/>
          <w:szCs w:val="28"/>
        </w:rPr>
        <w:t xml:space="preserve">ПИСЬМО</w:t>
      </w:r>
      <w:r>
        <w:rPr>
          <w:rFonts w:ascii="Arial" w:hAnsi="Arial" w:eastAsia="Arial" w:cs="Arial"/>
          <w:sz w:val="28"/>
          <w:szCs w:val="28"/>
        </w:rPr>
      </w:r>
      <w:r>
        <w:rPr>
          <w:rFonts w:ascii="Arial" w:hAnsi="Arial" w:eastAsia="Arial" w:cs="Arial"/>
          <w:sz w:val="28"/>
          <w:szCs w:val="28"/>
        </w:rPr>
      </w:r>
    </w:p>
    <w:p>
      <w:pPr>
        <w:ind w:left="0" w:right="0" w:firstLine="0"/>
        <w:jc w:val="center"/>
        <w:spacing w:before="210" w:after="0" w:line="240" w:lineRule="auto"/>
        <w:rPr>
          <w:rFonts w:ascii="Arial" w:hAnsi="Arial" w:eastAsia="Arial" w:cs="Arial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Arial" w:hAnsi="Arial" w:eastAsia="Arial" w:cs="Arial"/>
          <w:b/>
          <w:color w:val="000000"/>
          <w:sz w:val="28"/>
          <w:szCs w:val="28"/>
        </w:rPr>
        <w:t xml:space="preserve">от 28 марта 2025 г. N 10-00971/25</w:t>
      </w:r>
      <w:r>
        <w:rPr>
          <w:rFonts w:ascii="Arial" w:hAnsi="Arial" w:eastAsia="Arial" w:cs="Arial"/>
          <w:sz w:val="28"/>
          <w:szCs w:val="28"/>
        </w:rPr>
      </w:r>
      <w:r>
        <w:rPr>
          <w:rFonts w:ascii="Arial" w:hAnsi="Arial" w:eastAsia="Arial" w:cs="Arial"/>
          <w:sz w:val="28"/>
          <w:szCs w:val="28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4"/>
        </w:rPr>
        <w:t xml:space="preserve">Упра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вление информационных технологий Федеральной службы государственной регистрации, кадастра и картографии (далее - Управление) рассмотрело обращение по вопросу предоставления сведений, содержащихся в Едином государственном реестре недвижимости (далее - 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ГРН), по запросам кадастровых инженеров (далее - Обращение) и сообщает.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По вопросу наличия персональных данных соответствующего правообладателя в выписке из Единого государственного реестра недвижимости.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Предоставление сведений, содержащихся в Едином государственном реестре недвижимости (далее - ЕГРН), регламентируется положениями </w:t>
      </w:r>
      <w:hyperlink r:id="rId72" w:tooltip="https://www.consultant.ru/document/cons_doc_LAW_500103/e064cc95b1bdffa4d12abb92fdfc56dea94198df/#dst10079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статей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73" w:tooltip="https://www.consultant.ru/document/cons_doc_LAW_500103/cb0e1b809fc979301e6904220ab4c0d16804c6ce/#dst10083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63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Федерального закона от 13.07.2015 N 218-ФЗ "О государственной регистрации недвижимости" (далее - Закон N 218-ФЗ), </w:t>
      </w:r>
      <w:hyperlink r:id="rId74" w:tooltip="https://www.consultant.ru/document/cons_doc_LAW_497524/3552aeeb8f9dd503c3e6a8a2becdc58fc82ae2f7/#dst10001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Порядком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предоставления сведений, содержащихся в Едином государственном реестре недвижимости, утвержденным приказом Росреестра от 08.04.2021 N П/0149 (далее - Порядок N П/0149).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</w:r>
      <w:hyperlink r:id="rId75" w:tooltip="https://www.consultant.ru/document/cons_doc_LAW_500103/9c316deef8fe09d58678bc378da819323acb6700/#dst104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Частью 5 статьи 7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установлено, что сведения, содержащиеся в ЕГРН, являются общедоступными в пределах, установленных законом.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Сведения, содержащиеся в ЕГРН, относящиеся к сведениям ограниченного доступа (в том числе сведения, позволяющие идентифицировать правообладателей - физических лиц и относящиеся к их персональным данным) предоставляются в составе выписок из ЕГРН самим право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обладателям, судам, правоохранительным органам, судебным приставам-исполнителям, а также иным лицам, указанным в </w:t>
      </w:r>
      <w:hyperlink r:id="rId76" w:tooltip="https://www.consultant.ru/document/cons_doc_LAW_500103/e064cc95b1bdffa4d12abb92fdfc56dea94198df/#dst107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частях 13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77" w:tooltip="https://www.consultant.ru/document/cons_doc_LAW_500103/e064cc95b1bdffa4d12abb92fdfc56dea94198df/#dst10082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14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Согласно положениям </w:t>
      </w:r>
      <w:hyperlink r:id="rId78" w:tooltip="https://www.consultant.ru/document/cons_doc_LAW_500103/b4f7b7bc6f9a955d28d00a138f99961922f3e7ab/#dst1050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статьи 36.3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79" w:tooltip="https://www.consultant.ru/document/cons_doc_LAW_500103/e064cc95b1bdffa4d12abb92fdfc56dea94198df/#dst107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части 1.3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персональные данные физического лица - правообладателя (лица, в пользу которого зарегистрированы ограничения права или обременения объекта недвижимости) о фамилии, имени, отчестве (последнее - при наличии) и дате рождения предоставляются в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 составе выписки из ЕГРН, содержащей общедоступные сведения, только при наличии в ЕГРН записи о возможности предоставления персональных данных правообладателя (лица, в пользу которого зарегистрированы ограничения права или обременения объекта недвижимости)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 внесенной по заявлению таких лиц (их представителей).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При отсутствии указанной записи в ЕГРН персональные данные правообладателя (лица, в пользу которого зарегистрированы ограничения права или обременения объекта недвижимости) предоставляются в составе общедоступных выписок из ЕГРН только отдельным категориям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 лиц, в частности, кадастровым инженерам (в случае, предусмотренном </w:t>
      </w:r>
      <w:hyperlink r:id="rId80" w:tooltip="https://www.consultant.ru/document/cons_doc_LAW_500103/e064cc95b1bdffa4d12abb92fdfc56dea94198df/#dst24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частью 16.2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Так, в соответствии с </w:t>
      </w:r>
      <w:hyperlink r:id="rId81" w:tooltip="https://www.consultant.ru/document/cons_doc_LAW_500103/e064cc95b1bdffa4d12abb92fdfc56dea94198df/#dst24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частью 16.2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по запросу кадастрового инженера, выполняющего кадастровые работы в отношении земельного участка или земельных участков, необходимые для выполнения таких кадастровых работ сведения ЕГРН, в том числе об адресах правообладателей земельных уч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астков (при наличии таких сведений), предоставляются в составе выписки об объекте недвижимости (в случае выполнения кадастровых работ) или кадастрового плана территории (в случае выполнения комплексных кадастровых работ) в форме документов на бумажном носи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теле или электронных документов с использованием информационно-телекоммуникационной сети "Интернет" либо иных технических средств связи при представлении кадастровым инженером копии документа, на основании которого выполняются кадастровые работы (выписки и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 такого документа), копии государственного или муниципального контракта на выполнение комплексных кадастровых работ.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При этом, как представляется, в </w:t>
      </w:r>
      <w:hyperlink r:id="rId82" w:tooltip="https://www.consultant.ru/document/cons_doc_LAW_500103/e064cc95b1bdffa4d12abb92fdfc56dea94198df/#dst24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части 16.2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указан только перечень видов документов, в виде которых может быть представлена запрашиваемая информация, а не наименование конкретной формы выписки из ЕГРН, установленной </w:t>
      </w:r>
      <w:hyperlink r:id="rId83" w:tooltip="https://www.consultant.ru/document/cons_doc_LAW_472186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приказом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Росреестра от 04.09.2020 N П/0329 "Об утверждении форм выписок из Единого государственного реестра недвижимости, состава содержащихся в них сведений и порядка их заполнения, требований к формату документов, содержащих сведения Единого государственного рее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стра недвижимости и предоставляемых в электронном виде, а также об установлении иных видов предоставления сведений, содержащихся в Едином государственном реестре недвижимости" (далее - Приказ N П/0329).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</w:r>
      <w:hyperlink r:id="rId84" w:tooltip="https://www.consultant.ru/document/cons_doc_LAW_497524/4ca5a43891aa0e66a39925833377c748ba66e9fc/#dst10033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Пунктом 64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N П/0149 предусмотрено, что кадастровый инженер, указывая в запросе о необходимости получения дополнительных сведений об адресе электронной почты и (или) о почтовом адресе, по которым осуществляется связь с лицом, чье право на земельный участок за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регистрировано, а также с лицом, в пользу которого зарегистрировано ограничение права или обременение земельного участка, вправе выбрать вид документа, в виде которого предоставить ему эти сведения - выписки из ЕГРН об объекте недвижимости или выписки из 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ГРН об основных характеристиках.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Также обращаем внимание, что положения </w:t>
      </w:r>
      <w:hyperlink r:id="rId85" w:tooltip="https://www.consultant.ru/document/cons_doc_LAW_472186/ec4cf957892ff7759ad5f1d977a374a0a3702873/#dst598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пунктов 59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86" w:tooltip="https://www.consultant.ru/document/cons_doc_LAW_472186/ec4cf957892ff7759ad5f1d977a374a0a3702873/#dst90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61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87" w:tooltip="https://www.consultant.ru/document/cons_doc_LAW_472186/4c699f398227cd1d81abbe0f56d9f7b42656215f/#dst52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143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и </w:t>
      </w:r>
      <w:hyperlink r:id="rId88" w:tooltip="https://www.consultant.ru/document/cons_doc_LAW_472186/4c699f398227cd1d81abbe0f56d9f7b42656215f/#dst30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145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заполнения форм выписок и состава содержащихся в них сведений, утвержденных Приказом N П/0329, определяющие объем включаемых в выписку сведений о правообладателе (лице, в пользу которого зарегистрировано ограничение права и обременение объекта нед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вижимости) в зависимости от лица, обратившегося с запросом, не содержат различий по объему таких сведений, включаемых в выдаваемую кадастровым инженерам выписку из ЕГРН об объекте недвижимости и в выписку из ЕГРН об основных характеристиках и зарегистриров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анных правах на объект недвижимости.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Учитывая изложенное, полагаем, что по представленному в соответствии с установленными требованиями (</w:t>
      </w:r>
      <w:hyperlink r:id="rId89" w:tooltip="https://www.consultant.ru/document/cons_doc_LAW_497524/3552aeeb8f9dd503c3e6a8a2becdc58fc82ae2f7/#dst10001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Порядок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П/0149) запросу кадастрового инженера, выполняющего кадастровые работы в отношении земельного участка или земельных участков, необходимые для выполнения таких кадастровых работ сведения ЕГРН, в том числе об адресах правообладателей земельных участков (п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ри наличии таких сведений), а также указанных в </w:t>
      </w:r>
      <w:hyperlink r:id="rId90" w:tooltip="https://www.consultant.ru/document/cons_doc_LAW_500103/b4f7b7bc6f9a955d28d00a138f99961922f3e7ab/#dst105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части 1 статьи 36.3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персональных данных соответствующего правообладателя, могут быть получены им в виде выписки из ЕГРН об объекте недвижимости или выписки из ЕГРН об основных характеристиках и зарегистрированных правах на объект недвижимости.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По вопросу сроков доработки ФГИС ЕГРН.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 целью реализации в ФГИС ЕГРН механизма предоставления сведений об адресах правообладателей в составе выписки из ЕГРН о земельном участке по запросу кадастрового инженера, выполняющего кадастровые работы в отношении данного земельного участка, а также о с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межном с ним земельном участке в соответствии с требованиями </w:t>
      </w:r>
      <w:hyperlink r:id="rId91" w:tooltip="https://www.consultant.ru/document/cons_doc_LAW_500103/e064cc95b1bdffa4d12abb92fdfc56dea94198df/#dst135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частей 16.1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- </w:t>
      </w:r>
      <w:hyperlink r:id="rId92" w:tooltip="https://www.consultant.ru/document/cons_doc_LAW_500103/e064cc95b1bdffa4d12abb92fdfc56dea94198df/#dst24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16.3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Росреестром осуществлена доработка подсистем ФГИС ЕГРН.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14:ligatures w14:val="none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sz w:val="24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Учитывая плотно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4"/>
        </w:rPr>
        <w:t xml:space="preserve">сформированный релизный план-график вывода доработок ФГИС ЕГРН, предполагаемый срок вывода на продуктивный контур реализованных доработок ФГИС ЕГРН - II квартал 2025 г.</w:t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2"/>
        </w:rPr>
      </w:r>
      <w:r>
        <w:rPr>
          <w:rFonts w:ascii="Times New Roman" w:hAnsi="Times New Roman" w:eastAsia="Times New Roman" w:cs="Times New Roman"/>
          <w:sz w:val="24"/>
          <w:szCs w:val="22"/>
        </w:rPr>
      </w:r>
    </w:p>
    <w:p>
      <w:pPr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4"/>
          <w:szCs w:val="24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4"/>
        </w:rPr>
        <w:t xml:space="preserve">Приносим извинения за доставленные неудобства.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4"/>
          <w:szCs w:val="24"/>
          <w:highlight w:val="none"/>
        </w:rPr>
      </w:r>
    </w:p>
    <w:p>
      <w:pPr>
        <w:ind w:left="0" w:right="0" w:firstLine="540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sz w:val="24"/>
          <w:szCs w:val="24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4"/>
          <w:highlight w:val="none"/>
        </w:rPr>
      </w: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eastAsia="Times New Roman" w:cs="Times New Roman"/>
          <w:sz w:val="24"/>
          <w:szCs w:val="24"/>
        </w:rPr>
      </w:r>
    </w:p>
    <w:p>
      <w:pPr>
        <w:ind w:left="0" w:right="0" w:firstLine="0"/>
        <w:jc w:val="right"/>
        <w:spacing w:before="0" w:after="0" w:line="240" w:lineRule="auto"/>
        <w:shd w:val="clear" w:color="ffffff" w:fill="ffffff"/>
        <w:rPr>
          <w:rFonts w:ascii="Times New Roman" w:hAnsi="Times New Roman" w:eastAsia="Times New Roman" w:cs="Times New Roman"/>
          <w:sz w:val="24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4"/>
        </w:rPr>
        <w:t xml:space="preserve">Заместитель начальника</w:t>
      </w:r>
      <w:r>
        <w:rPr>
          <w:rFonts w:ascii="Times New Roman" w:hAnsi="Times New Roman" w:eastAsia="Times New Roman" w:cs="Times New Roman"/>
          <w:sz w:val="24"/>
          <w:szCs w:val="22"/>
        </w:rPr>
      </w:r>
      <w:r>
        <w:rPr>
          <w:rFonts w:ascii="Times New Roman" w:hAnsi="Times New Roman" w:eastAsia="Times New Roman" w:cs="Times New Roman"/>
          <w:sz w:val="24"/>
          <w:szCs w:val="22"/>
        </w:rPr>
      </w:r>
    </w:p>
    <w:p>
      <w:pPr>
        <w:ind w:left="0" w:right="0" w:firstLine="0"/>
        <w:jc w:val="right"/>
        <w:spacing w:before="0" w:after="0" w:line="240" w:lineRule="auto"/>
        <w:shd w:val="clear" w:color="ffffff" w:fill="ffffff"/>
        <w:rPr>
          <w:rFonts w:ascii="Times New Roman" w:hAnsi="Times New Roman" w:eastAsia="Times New Roman" w:cs="Times New Roman"/>
          <w:sz w:val="24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4"/>
        </w:rPr>
        <w:t xml:space="preserve">Управления информационных технологий</w:t>
      </w:r>
      <w:r>
        <w:rPr>
          <w:rFonts w:ascii="Times New Roman" w:hAnsi="Times New Roman" w:eastAsia="Times New Roman" w:cs="Times New Roman"/>
          <w:sz w:val="24"/>
          <w:szCs w:val="22"/>
        </w:rPr>
      </w:r>
      <w:r>
        <w:rPr>
          <w:rFonts w:ascii="Times New Roman" w:hAnsi="Times New Roman" w:eastAsia="Times New Roman" w:cs="Times New Roman"/>
          <w:sz w:val="24"/>
          <w:szCs w:val="22"/>
        </w:rPr>
      </w:r>
    </w:p>
    <w:p>
      <w:pPr>
        <w:ind w:left="0" w:right="0" w:firstLine="0"/>
        <w:jc w:val="right"/>
        <w:spacing w:before="0" w:after="0" w:line="240" w:lineRule="auto"/>
        <w:shd w:val="clear" w:color="ffffff" w:fill="ffffff"/>
        <w:rPr>
          <w:rFonts w:ascii="Times New Roman" w:hAnsi="Times New Roman" w:eastAsia="Times New Roman" w:cs="Times New Roman"/>
          <w:sz w:val="24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4"/>
        </w:rPr>
        <w:t xml:space="preserve">Г.А.БОЯРСКИЙ</w:t>
      </w:r>
      <w:r>
        <w:rPr>
          <w:rFonts w:ascii="Times New Roman" w:hAnsi="Times New Roman" w:eastAsia="Times New Roman" w:cs="Times New Roman"/>
          <w:sz w:val="24"/>
          <w:szCs w:val="22"/>
        </w:rPr>
      </w:r>
      <w:r>
        <w:rPr>
          <w:rFonts w:ascii="Times New Roman" w:hAnsi="Times New Roman" w:eastAsia="Times New Roman" w:cs="Times New Roman"/>
          <w:sz w:val="24"/>
          <w:szCs w:val="22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spacing w:line="245" w:lineRule="auto"/>
        <w:rPr>
          <w:rFonts w:eastAsia="Times New Roman"/>
          <w:b/>
          <w:bCs/>
          <w:highlight w:val="none"/>
          <w:lang w:eastAsia="ru-RU"/>
        </w:rPr>
      </w:pP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  <w:r>
        <w:rPr>
          <w:rFonts w:eastAsia="Times New Roman"/>
          <w:b/>
          <w:bCs/>
          <w:highlight w:val="none"/>
          <w:lang w:eastAsia="ru-RU"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349"/>
        <w:ind w:left="-142" w:firstLine="851"/>
        <w:spacing w:line="259" w:lineRule="auto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spacing w:line="245" w:lineRule="auto"/>
        <w:rPr>
          <w:b/>
          <w:bCs/>
          <w:highlight w:val="none"/>
          <w:lang w:eastAsia="ru-RU"/>
          <w14:ligatures w14:val="none"/>
        </w:rPr>
      </w:pP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spacing w:line="245" w:lineRule="auto"/>
        <w:rPr>
          <w:b/>
          <w:bCs/>
          <w:highlight w:val="none"/>
          <w14:ligatures w14:val="none"/>
        </w:rPr>
      </w:pPr>
      <w:r>
        <w:rPr>
          <w:b/>
          <w:bCs/>
        </w:rPr>
        <w:t xml:space="preserve">9.</w:t>
      </w:r>
      <w:r>
        <w:rPr>
          <w:rFonts w:eastAsia="Times New Roman"/>
          <w:b/>
          <w:lang w:eastAsia="ru-RU"/>
        </w:rPr>
        <w:t xml:space="preserve"> </w:t>
      </w:r>
      <w:r>
        <w:rPr>
          <w:b/>
        </w:rPr>
        <w:t xml:space="preserve">Информацио</w:t>
      </w:r>
      <w:r>
        <w:rPr>
          <w:b/>
          <w:bCs/>
        </w:rPr>
        <w:t xml:space="preserve">нное </w:t>
      </w:r>
      <w:r>
        <w:rPr>
          <w:b/>
          <w:bCs/>
        </w:rPr>
        <w:t xml:space="preserve">письмо Росреестра о</w:t>
      </w:r>
      <w:r>
        <w:rPr>
          <w:b/>
          <w:bCs/>
        </w:rPr>
        <w:t xml:space="preserve">т</w:t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</w:rPr>
        <w:t xml:space="preserve"> 15.04.2025 № 13-00580/25 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  <w:t xml:space="preserve">по вопрос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  <w:t xml:space="preserve">у уплаты государственной пошлины в случае подготовки межевого плана в виде одного документа в отношении нескольких земельных участко</w:t>
      </w:r>
      <w:r>
        <w:rPr>
          <w:b/>
          <w:bCs/>
        </w:rPr>
        <w:t xml:space="preserve">в.</w:t>
      </w:r>
      <w:r>
        <w:rPr>
          <w:b/>
          <w:bCs/>
          <w:highlight w:val="none"/>
          <w:lang w:eastAsia="ru-RU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pStyle w:val="1301"/>
        <w:contextualSpacing/>
        <w:ind w:left="0" w:right="0" w:firstLine="0"/>
        <w:jc w:val="center"/>
        <w:spacing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</w:rPr>
        <w:t xml:space="preserve">Письмо Росреестра от 15.04.2025 N 13-00580/25 «О рассмотрении обращения»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Управление нормативно-правового регулирования в сферах регистрации недвижимости, геодезии и картографии Федеральной службы государственной регистрации, кадастра и картографии (далее - Управление), рассмотрев в пределах своей компетенции обращение по вопрос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ам уплаты государственной пошлины в случае подготовки межевого плана в виде одного док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умента в отношении нескольких земельных участков, сообщает.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Согласно </w:t>
      </w:r>
      <w:hyperlink r:id="rId93" w:tooltip="https://www.consultant.ru/document/cons_doc_LAW_483130/ea34776d79af4f4f0d38a7757aee0c9f2f92f17f/#dst3880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пункту 1 статьи 34.2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Налогового кодекса Российской Федерации (далее - НК РФ) письменные разъяснения по вопросам применения законодательства Российской Федерации о налогах и сборах дает Минфин России.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Вместе с тем относительно вопросов, затронутых в обращении, полагаем возможным отметить следующее.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</w:r>
      <w:hyperlink r:id="rId94" w:tooltip="https://www.consultant.ru/document/cons_doc_LAW_500103/6ae2d3f92c2e1591de4bfc1fc7d62fe155c8c0d1/#dst10064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Статьей 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Федерального закона от 13.07.2015 N 218-ФЗ "О государственной регистрации недвижимости" (далее - Закон N 218-ФЗ) установлены особенности осуществления государственного кадастрового учета при уточнении границ земельных участков в соответствии с которыми: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государственный кадастровый учет в связи с изменением описания местоположения границ земельного участка и (или) его площади, за исключением случаев образования земельного участка при выделе из земельного участка или разделе земельного участка, при которых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преобразуемый земельный участок сохраняется в измененных границах, осуществляется при условии, если такие изменения связаны с уточнением описания местоположения границ земельного участка, сведения о котором, содержащиеся в Едином государственном реестре не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движимости (далее - ЕГРН), не соответствуют установленным на основании </w:t>
      </w:r>
      <w:hyperlink r:id="rId95" w:tooltip="https://www.consultant.ru/document/cons_doc_LAW_500103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Закона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218-ФЗ требованиям к описанию местоположения границ земельных участков или в содержащемся в ЕГРН описании местоположения границ которого выявлена ошибка, указанная в </w:t>
      </w:r>
      <w:hyperlink r:id="rId96" w:tooltip="https://www.consultant.ru/document/cons_doc_LAW_500103/eb949852dbe72671f46c225fd6c28e9cecbe64da/#dst127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части 3 статьи 61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(далее - уточнение границ земельного участка) - </w:t>
      </w:r>
      <w:hyperlink r:id="rId97" w:tooltip="https://www.consultant.ru/document/cons_doc_LAW_500103/6ae2d3f92c2e1591de4bfc1fc7d62fe155c8c0d1/#dst57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 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;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если при государственном кадастровом учете в связи с уточнением местоположения части границ земельного участка, которая одновременно является общей частью границ других земельных участков, и (или) изменением площади земельного участка требуется внесение из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менений в содержащиеся в ЕГРН сведения о местоположении границ и (или) площади смежных с ним земельных участков (если описание местоположения их границ соответствует установленным в соответствии с </w:t>
      </w:r>
      <w:hyperlink r:id="rId98" w:tooltip="https://www.consultant.ru/document/cons_doc_LAW_500103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Законом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218-ФЗ требованиям), орган регистрации прав одновременно с осуществлением государственного кадастрового учета вносит соответствующие изменения в сведения, содержащиеся в ЕГРН о местоположении границ (частей границ) и площади указанных смежных земельных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участков; при этом представление дополнительных заявлений о государственном кадастровом учете изменений в сведениях, содержащихся в ЕГРН, в отношении указанных смежных земельных участков не требуется; в указанном случае местоположение границ земельных учас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тков считается согласованным только при наличии в акте согласования местоположения границ личных подписей всех заинтересованных лиц или их представителей; правила настоящей части применяются также в случае, если в связи с образованием земельных участков од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новременно осуществлено уточнение местоположения части (частей) границ других земельных участков, которая является общей частью (которые являются общими частями) границ образуемого земельного участка - </w:t>
      </w:r>
      <w:hyperlink r:id="rId99" w:tooltip="https://www.consultant.ru/document/cons_doc_LAW_500103/6ae2d3f92c2e1591de4bfc1fc7d62fe155c8c0d1/#dst97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 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;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уточнение границ земельных участков в случае выявления ошибки в описании местоположения границ смежных и (или) несмежных земельных участков, в том числе при выполнении кадастровых работ в отношении зданий, сооружений, объектов незавершенного строительства,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 осуществляется на основании заявления лица, являющегося правообладателем одного из земельных участков, в отношении которых осуществляется уточнение границ, либо указанного в </w:t>
      </w:r>
      <w:hyperlink r:id="rId100" w:tooltip="https://www.consultant.ru/document/cons_doc_LAW_500103/6c07b6c26bd6d54dd22077ca042a9a36f875d0c1/#dst10022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статье 15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лица, заинтересованного в государственном кадастровом учете и (или) государственной регистрации права на здание, сооружение, объект незавершенного строительства, а также необходимых для таких государственного кадастрового учета и (или) гос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ударственной регистрации прав документов; в указанном случае в межевой план включается обоснование наличия ошибки в описании местоположения границ смежных и (или) несмежных земельных участков, а местоположение границ указанных земельных участков считается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согласованным только при наличии в акте согласования местоположения границ личных подписей всех заинтересованных лиц или их представителей - </w:t>
      </w:r>
      <w:hyperlink r:id="rId101" w:tooltip="https://www.consultant.ru/document/cons_doc_LAW_500103/6ae2d3f92c2e1591de4bfc1fc7d62fe155c8c0d1/#dst57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 2.1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</w:r>
      <w:hyperlink r:id="rId102" w:tooltip="https://www.consultant.ru/document/cons_doc_LAW_500103/eb949852dbe72671f46c225fd6c28e9cecbe64da/#dst61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Пунктом 1 части 3 статьи 61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установлено, что исправление реестровой ошибки, содержащейся в ЕГРН, осуществляется в порядке государственного кадастрового учета в связи с изменением объекта недвижимости, если реестровая ошибка содержится в документах, представленных ран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ее с заявлением об осуществлении одновременно государственного кадастрового учета и государственной регистрации прав либо с заявлением об осуществлении государственного кадастрового учета соответствующего объекта недвижимости (если такое исправление не вле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чет за собой прекращение, возникновение, переход зарегистрированного права на объект недвижимости).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За осуществление государственного кадастрового учета и (или) государственной регистрации прав взимается государственная пошлина в соответствии с </w:t>
      </w:r>
      <w:hyperlink r:id="rId103" w:tooltip="https://www.consultant.ru/document/cons_doc_LAW_483130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НК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РФ (</w:t>
      </w:r>
      <w:hyperlink r:id="rId104" w:tooltip="https://www.consultant.ru/document/cons_doc_LAW_500103/ea57a21333adf1cb58899ef6756784ed0e0bd645/#dst133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статья 17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Государственная пошлина - сбор, взимаемый с плательщиков государственной пошлины при их обращении в государственные органы за совершением в отношении этих лиц юридически значимых действий, предусмотренных </w:t>
      </w:r>
      <w:hyperlink r:id="rId105" w:tooltip="https://www.consultant.ru/document/cons_doc_LAW_475532/de7bd1366f504b34d5cd844b822115df15d11ae4/#dst75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главой 25.3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 (</w:t>
      </w:r>
      <w:hyperlink r:id="rId106" w:tooltip="https://www.consultant.ru/document/cons_doc_LAW_475532/c26752a67e3ba0d48247ca7ff9e8f05a69e56a5c/#dst20515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 1 статьи 333.16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</w:r>
      <w:hyperlink r:id="rId107" w:tooltip="https://www.consultant.ru/document/cons_doc_LAW_475532/7f6aa2a30ed6c4b39a5890e07c7494d9c278b8ea/#dst5250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Пунктом 1 статьи 333.33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 предусмотрены размеры государственной пошлины: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за государственный кадастровый учет созданных (образованных) объектов недвижимости без одновременной государственной регистрации прав, за исключением юридически значимых действий, предусмотренных </w:t>
      </w:r>
      <w:hyperlink r:id="rId108" w:tooltip="https://www.consultant.ru/document/cons_doc_LAW_475532/7f6aa2a30ed6c4b39a5890e07c7494d9c278b8ea/#dst2624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подпунктом 22.3 пункта 1 статьи 333.33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 (для физических лиц - 2 000 рублей, для организаций - 22 000 рублей) - </w:t>
      </w:r>
      <w:hyperlink r:id="rId109" w:tooltip="https://www.consultant.ru/document/cons_doc_LAW_475532/7f6aa2a30ed6c4b39a5890e07c7494d9c278b8ea/#dst2624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подпункт 22.2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;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за государственный кадастровый учет в связи с изменением сведений об объекте недвижимости (для физических лиц - 1 000 рублей, для организаций - 2 000 рублей) - </w:t>
      </w:r>
      <w:hyperlink r:id="rId110" w:tooltip="https://www.consultant.ru/document/cons_doc_LAW_475532/7f6aa2a30ed6c4b39a5890e07c7494d9c278b8ea/#dst2624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подпункт 22.3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Государственный кадастровый учет осуществляется на основании заявления, за исключением установленных </w:t>
      </w:r>
      <w:hyperlink r:id="rId111" w:tooltip="https://www.consultant.ru/document/cons_doc_LAW_500103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Законом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218-ФЗ случаев, и документов, поступивших в орган регистрации прав в установленном </w:t>
      </w:r>
      <w:hyperlink r:id="rId112" w:tooltip="https://www.consultant.ru/document/cons_doc_LAW_500103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Законом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218-ФЗ порядке (</w:t>
      </w:r>
      <w:hyperlink r:id="rId113" w:tooltip="https://www.consultant.ru/document/cons_doc_LAW_500103/cec950b7d67461cec8418d349b532c4574a9db11/#dst100192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 1 статьи 14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 учетом указанных положений </w:t>
      </w:r>
      <w:hyperlink r:id="rId114" w:tooltip="https://www.consultant.ru/document/cons_doc_LAW_483130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НК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РФ и </w:t>
      </w:r>
      <w:hyperlink r:id="rId115" w:tooltip="https://www.consultant.ru/document/cons_doc_LAW_500103/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Закона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N 218-ФЗ государственная пошлина, подлежащая уплате в обозначенных в </w:t>
      </w:r>
      <w:hyperlink r:id="rId116" w:tooltip="https://www.consultant.ru/document/cons_doc_LAW_500103/6ae2d3f92c2e1591de4bfc1fc7d62fe155c8c0d1/#dst100643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статье 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случаях осуществления государственного кадастрового учета при уточнении границ земельных участков, взимается в отношении каждого объекта недвижимости, государственный кадастровый учет которого (в связи с его образованием или изменением све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дений о нем) осуществляется на основании соответствующего заявления.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 этой связи при представлении в орган регистрации прав заявления об осуществлении государственного кадастрового учета образуемого земельного участка уплачивается государственная пошлина, установленная </w:t>
      </w:r>
      <w:hyperlink r:id="rId117" w:tooltip="https://www.consultant.ru/document/cons_doc_LAW_475532/7f6aa2a30ed6c4b39a5890e07c7494d9c278b8ea/#dst2624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подпунктом 22.2 пункта 1 статьи 333.33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 (в отношении каждого образуемого земельного участка), при представлении заявления об осуществлении государственного кадастрового учета в связи с изменением сведений о земельном участке (в связи с уточнением его границ в соответствии с </w:t>
      </w:r>
      <w:hyperlink r:id="rId118" w:tooltip="https://www.consultant.ru/document/cons_doc_LAW_500103/6ae2d3f92c2e1591de4bfc1fc7d62fe155c8c0d1/#dst57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частями 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119" w:tooltip="https://www.consultant.ru/document/cons_doc_LAW_500103/6ae2d3f92c2e1591de4bfc1fc7d62fe155c8c0d1/#dst97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или </w:t>
      </w:r>
      <w:hyperlink r:id="rId120" w:tooltip="https://www.consultant.ru/document/cons_doc_LAW_500103/6ae2d3f92c2e1591de4bfc1fc7d62fe155c8c0d1/#dst576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2.1 статьи 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218-ФЗ), в том числе с целью исправления реестровой ошибки в содержащемся в ЕГРН описании местоположения границ такого земельного участка (в соответствии с </w:t>
      </w:r>
      <w:hyperlink r:id="rId121" w:tooltip="https://www.consultant.ru/document/cons_doc_LAW_500103/eb949852dbe72671f46c225fd6c28e9cecbe64da/#dst614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пунктом 1 части 3 статьи 61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218-ФЗ), подлежит уплате государственная пошлина, установленная </w:t>
      </w:r>
      <w:hyperlink r:id="rId122" w:tooltip="https://www.consultant.ru/document/cons_doc_LAW_475532/7f6aa2a30ed6c4b39a5890e07c7494d9c278b8ea/#dst26249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подпунктом 22.3 пункта 1 статьи 333.33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НК РФ (уплачивается в отношении каждого земельного участка, границы которого уточняются на основании такого заявления).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Вместе с тем в случае, предусмотренном </w:t>
      </w:r>
      <w:hyperlink r:id="rId123" w:tooltip="https://www.consultant.ru/document/cons_doc_LAW_500103/6ae2d3f92c2e1591de4bfc1fc7d62fe155c8c0d1/#dst97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частью 2 статьи 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218-ФЗ, изменение сведений о местоположении границ (частей границ) и площади смежных земельных участков осуществляется органом регистрации прав самостоятельно на основании имеющихся документов (документов, представленных в рамках государственного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 кадастрового учета в связи с уточнением местоположения границ основного земельного участка, имеющего общие части границ со смежными с ним участками или государственного кадастрового учета образуемого земельного участка, имеющего общие части границ со смеж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ными с ним участками) без осуществления в отношении таких участков процедур государственного кадастрового учета в установленном порядке (без представления соответствующих заявлений в отношении указанных смежных земельных участков).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Таким образом, государственная пошлина за изменение органом регистрации прав в соответствии с </w:t>
      </w:r>
      <w:hyperlink r:id="rId124" w:tooltip="https://www.consultant.ru/document/cons_doc_LAW_500103/6ae2d3f92c2e1591de4bfc1fc7d62fe155c8c0d1/#dst971" w:history="1">
        <w:r>
          <w:rPr>
            <w:rFonts w:ascii="Times New Roman" w:hAnsi="Times New Roman" w:eastAsia="Times New Roman" w:cs="Times New Roman"/>
            <w:b w:val="0"/>
            <w:bCs w:val="0"/>
            <w:color w:val="000000"/>
            <w:sz w:val="28"/>
            <w:szCs w:val="28"/>
          </w:rPr>
          <w:t xml:space="preserve">частью 2 статьи 43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сведений о местоположении границ (частей границ) и площади смежных земельных участков не уплачивается.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14:ligatures w14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Дополнительно сообщаем, что письма Росре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естра и его структурных подразделений не содержат правовых норм или общих правил, конкретизирующих нормативные предписания, имеют информационный характер и не препятствуют руководствоваться непосредственно нормами за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конодательства.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rFonts w:ascii="Times New Roman" w:hAnsi="Times New Roman" w:eastAsia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Начальник Управления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нормативно-правового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регулирования в сферах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регистрации недвижимости,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геодезии и картографии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0"/>
        <w:jc w:val="right"/>
        <w:spacing w:before="0" w:after="0" w:line="240" w:lineRule="auto"/>
        <w:shd w:val="clear" w:color="ffffff" w:fill="ffffff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Э.У.ГАЛИШИН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spacing w:line="245" w:lineRule="auto"/>
        <w:rPr>
          <w:b/>
          <w:bCs/>
          <w14:ligatures w14:val="none"/>
        </w:rPr>
      </w:pPr>
      <w:r>
        <w:rPr>
          <w:b/>
          <w:bCs/>
          <w:highlight w:val="none"/>
          <w:lang w:eastAsia="ru-RU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shd w:val="nil" w:color="000000"/>
      </w:pPr>
      <w:r>
        <w:br w:type="page" w:clear="all"/>
      </w:r>
      <w:r/>
    </w:p>
    <w:p>
      <w:pPr>
        <w:spacing w:line="276" w:lineRule="auto"/>
        <w:rPr>
          <w:b/>
          <w:bCs/>
          <w:lang w:eastAsia="ru-RU"/>
          <w14:ligatures w14:val="none"/>
        </w:rPr>
      </w:pPr>
      <w:r>
        <w:rPr>
          <w:b/>
          <w:bCs/>
          <w:lang w:eastAsia="ru-RU"/>
        </w:rPr>
        <w:t xml:space="preserve">10.</w:t>
      </w:r>
      <w:r>
        <w:rPr>
          <w:b/>
          <w:bCs/>
          <w:lang w:eastAsia="ru-RU"/>
        </w:rPr>
        <w:t xml:space="preserve"> </w:t>
      </w:r>
      <w:r>
        <w:rPr>
          <w:b/>
          <w:bCs/>
          <w:lang w:eastAsia="ru-RU"/>
        </w:rPr>
        <w:t xml:space="preserve">Инф</w:t>
      </w:r>
      <w:r>
        <w:rPr>
          <w:b/>
          <w:bCs/>
          <w:lang w:eastAsia="ru-RU"/>
        </w:rPr>
        <w:t xml:space="preserve">ормационное письмо Росрее</w:t>
      </w:r>
      <w:r>
        <w:rPr>
          <w:b/>
          <w:bCs/>
          <w:lang w:eastAsia="ru-RU"/>
        </w:rPr>
        <w:t xml:space="preserve">стра </w:t>
      </w:r>
      <w:r>
        <w:rPr>
          <w:b/>
          <w:bCs/>
          <w:lang w:eastAsia="ru-RU"/>
        </w:rPr>
        <w:t xml:space="preserve">от 27.03.2025 N 13-00429/25 по вопросу предоставления сведений из ЕГРН в виде выписки об установленных в пользу отдельного лица ограничениях прав и (или) обременениях объекта.</w:t>
      </w:r>
      <w:r>
        <w:rPr>
          <w:b/>
          <w:bCs/>
          <w:lang w:eastAsia="ru-RU"/>
          <w14:ligatures w14:val="none"/>
        </w:rPr>
      </w:r>
      <w:r>
        <w:rPr>
          <w:b/>
          <w:bCs/>
          <w:lang w:eastAsia="ru-RU"/>
          <w14:ligatures w14:val="none"/>
        </w:rPr>
      </w:r>
    </w:p>
    <w:p>
      <w:pPr>
        <w:spacing w:line="276" w:lineRule="auto"/>
        <w:rPr>
          <w:b/>
          <w:bCs/>
          <w:lang w:eastAsia="ru-RU"/>
          <w14:ligatures w14:val="none"/>
        </w:rPr>
      </w:pPr>
      <w:r>
        <w:rPr>
          <w:rFonts w:ascii="PT Sans" w:hAnsi="PT Sans" w:eastAsia="PT Sans" w:cs="PT Sans"/>
          <w:b/>
          <w:color w:val="000000"/>
          <w:sz w:val="28"/>
          <w:szCs w:val="28"/>
          <w:highlight w:val="none"/>
        </w:rPr>
      </w:r>
      <w:r>
        <w:rPr>
          <w:b/>
          <w:bCs/>
          <w:lang w:eastAsia="ru-RU"/>
          <w14:ligatures w14:val="none"/>
        </w:rPr>
      </w:r>
      <w:r>
        <w:rPr>
          <w:b/>
          <w:bCs/>
          <w:lang w:eastAsia="ru-RU"/>
          <w14:ligatures w14:val="none"/>
        </w:rPr>
      </w:r>
    </w:p>
    <w:p>
      <w:pPr>
        <w:spacing w:line="240" w:lineRule="auto"/>
        <w:rPr>
          <w:rFonts w:ascii="PT Sans" w:hAnsi="PT Sans" w:eastAsia="PT Sans" w:cs="PT Sans"/>
          <w:b/>
          <w:bCs/>
          <w:color w:val="000000"/>
          <w:sz w:val="28"/>
          <w:szCs w:val="28"/>
          <w:highlight w:val="none"/>
          <w14:ligatures w14:val="none"/>
        </w:rPr>
      </w:pPr>
      <w:r>
        <w:rPr>
          <w:b/>
          <w:bCs/>
          <w:lang w:eastAsia="ru-RU"/>
        </w:rPr>
      </w:r>
      <w:r>
        <w:rPr>
          <w:rFonts w:ascii="PT Sans" w:hAnsi="PT Sans" w:eastAsia="PT Sans" w:cs="PT Sans"/>
          <w:b/>
          <w:color w:val="000000"/>
          <w:sz w:val="28"/>
          <w:szCs w:val="28"/>
        </w:rPr>
        <w:t xml:space="preserve">Письмо Росреестра от 27.03.2025 N 13-00429/25 по вопросу предоставления сведений из ЕГРН в виде выписки об установленных в пользу отдельного лица ограничениях прав и (или) обременениях объекта </w:t>
      </w:r>
      <w:r>
        <w:rPr>
          <w:rFonts w:ascii="PT Sans" w:hAnsi="PT Sans" w:eastAsia="PT Sans" w:cs="PT Sans"/>
          <w:b/>
          <w:bCs/>
          <w:color w:val="000000"/>
          <w:sz w:val="28"/>
          <w:szCs w:val="28"/>
          <w:highlight w:val="none"/>
          <w14:ligatures w14:val="none"/>
        </w:rPr>
      </w:r>
      <w:r>
        <w:rPr>
          <w:rFonts w:ascii="PT Sans" w:hAnsi="PT Sans" w:eastAsia="PT Sans" w:cs="PT Sans"/>
          <w:b/>
          <w:bCs/>
          <w:color w:val="000000"/>
          <w:sz w:val="28"/>
          <w:szCs w:val="28"/>
          <w:highlight w:val="none"/>
          <w14:ligatures w14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Управление нормативно-правового регулирования в сферах регистрации недвижимости, геодезии и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картографии Федеральной службы государственной регистрации, кадастра и картографии, рассмотрев в пределах своей компетенции обращение по вопросу предоставления свед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ений из Единого государственного реестра недвижимости (далее - ЕГРН) в виде выписки об установленных в пользу отдельного лица ограничениях прав и (или) обременениях объекта недвижимости, сообщает следующее.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 соответствии с </w:t>
      </w:r>
      <w:hyperlink r:id="rId125" w:tooltip="https://www.consultant.ru/document/cons_doc_LAW_493331/a14bd2ca3dec44a27a39d623c13302daee66d2bd/#dst100019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Положением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о Федеральной службе государственной регистрации, кадастра и картографии, утвержденным постановлением Правительства Российской Федерации от 01.06.2009 N 457, Росреестр является федеральным органом исполнительной власти, осуществляющим в том числе выработк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 государственной политики и нормативно-правовое регулирование в отнесенных к его ведению сферах деятельности.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Разъяснения органа государственной власти имеют юридическую силу в том случае, если данный орган наделен в соответствии с законодательством Российской Федерации специальной компетенцией издавать разъяснения по применению положений нормативных правовых акто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Росреестр не наделен полномочиями по официальному разъяснению законодательства Российской Федерации, толкованию нормативных правовых актов.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 этой связи письма Росреестра не направлены на установление, изменение или отмену правовых норм. Кроме того, содержащееся мнение в данных письмах не является официальным актом толкования правовых норм, соответственно, не может быть рассмотрено в качестве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обязательного государственного предписания или выступать в качестве доказательства в суде.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Вместе с тем полагаем возможным отметить следующее.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Предоставление сведений, содержащихся в ЕГРН, регламентируется положениями </w:t>
      </w:r>
      <w:hyperlink r:id="rId126" w:tooltip="https://www.consultant.ru/document/cons_doc_LAW_500103/e064cc95b1bdffa4d12abb92fdfc56dea94198df/#dst100799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статей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127" w:tooltip="https://www.consultant.ru/document/cons_doc_LAW_500103/cb0e1b809fc979301e6904220ab4c0d16804c6ce/#dst100835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63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Федерального закона от 13 июля 2015 г. N 218-ФЗ "О государственной регистрации недвижимости" (далее - Закон N 218-ФЗ), </w:t>
      </w:r>
      <w:hyperlink r:id="rId128" w:tooltip="https://www.consultant.ru/document/cons_doc_LAW_497524/3552aeeb8f9dd503c3e6a8a2becdc58fc82ae2f7/#dst100014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Порядком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предоставления сведений, содержащихся в Едином государственном реестре недвижимости, утвержденным приказом Росреестра от 08.04.2021 N П/0149 (далее - Порядок N П/0149).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Формы документов, в виде которых предоставляются содержащиеся в ЕГРН сведения, состав таких сведений, содержащихся в этих документах, утверждены </w:t>
      </w:r>
      <w:hyperlink r:id="rId129" w:tooltip="https://www.consultant.ru/document/cons_doc_LAW_472186/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приказом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Росреестра от 04.09.2020 N П/0329 "Об утверждении форм выписок из Единого государственного реестра недвижимости, состава содержащихся в них сведений и порядка их заполнения, требований к формату документов, содержащих сведения ЕГРН и предоставляемых в эле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ктронном виде, а также об установлении иных видов предоставления сведений, содержащихся в Едином государственном реестре недвижимости" (далее - Приказ N П/0329).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Особенности заполнения выписки из ЕГРН об установленных в пользу отдельного лица ограничениях прав и (или) обременениях объекта недвижимости определены </w:t>
      </w:r>
      <w:hyperlink r:id="rId130" w:tooltip="https://www.consultant.ru/document/cons_doc_LAW_472186/25ecf26d83a97949eb25ed5c91797445c91f8ddd/#dst449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пунктами 229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- </w:t>
      </w:r>
      <w:hyperlink r:id="rId131" w:tooltip="https://www.consultant.ru/document/cons_doc_LAW_472186/25ecf26d83a97949eb25ed5c91797445c91f8ddd/#dst464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235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заполнения форм выписок из ЕГРН (Приложение N 13 к Приказу N П/0329).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Так, в выписку из ЕГРН об установленных в пользу отдельного лица ограничениях прав и (или) обременениях объекта недвижимости включаются сведения обо всех актуальных на дату ее подписания ограничениях прав и обременениях объекта недвижимости, зарегистрирова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нных в пользу такого лица (указанного в запросе), с указанием кратких сведений об объекте недвижимости; виде зарегистрированного ограничения прав и обременения объекта недвижимости в пользу лица, сведения о котором запрашиваются, согласно соответствующей 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ктуальной записи ЕГРН; дате и номере государственной регистрации данного ограничения прав и обременения объекта недвижимости; реквизитов документа, на основании которого зарегистрировано ограничение прав и обременение объекта недвижимости. Также в указанно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й выписке из ЕГРН указывается предмет зарегистрированного ограничения прав и обременения объекта недвижимости.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Заявитель в запросе о предоставлении таких сведений из ЕГРН может указать интересующий его вид объекта недвижимости, вид ограничения прав и (или) обременения объекта недвижимости, в отношении которых представляется запрос, а также наименование субъекта Рос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сийской Федерации, если запрашивается информация по объектам недвижимости, расположенным на определенной территории (</w:t>
      </w:r>
      <w:hyperlink r:id="rId132" w:tooltip="https://www.consultant.ru/document/cons_doc_LAW_497524/1390c6c8ca885572b0b7ad20e2a8b3dad17a79d1/#dst100522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Приложение N 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к Порядку N П/0149). При этом выписка из ЕГРН об установленных в пользу отдельного лица ограничениях прав и (или) обременениях объекта недвижимости не предполагает указание в ней сведений за определенный период или на определенную дату.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b w:val="0"/>
          <w:bCs w:val="0"/>
          <w:sz w:val="28"/>
          <w:szCs w:val="28"/>
        </w:rPr>
      </w:r>
      <w:hyperlink r:id="rId133" w:tooltip="https://www.consultant.ru/document/cons_doc_LAW_500103/e064cc95b1bdffa4d12abb92fdfc56dea94198df/#dst1075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Частью 13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установлено, что содержащиеся в ЕГРН обобщенные актуальные сведения об установленных в пользу отдельного лица ограничениях прав и (или) обременениях объекта недвижимости предоставляются только лицам, указанным в данной </w:t>
      </w:r>
      <w:hyperlink r:id="rId134" w:tooltip="https://www.consultant.ru/document/cons_doc_LAW_500103/e064cc95b1bdffa4d12abb92fdfc56dea94198df/#dst1075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части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 в том числе самим правообладателям или их законным представителям.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 соответствии с гражданским законодательством Российской Федерации, регулирующим имущественные отношения, правообладателем недвижимого имущества является лицо, которому такое имущество принадлежит на каком-либо праве, в частности, на праве собственности и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ли ином вещным праве: праве хозяйственного ведения, оперативного управления, безвозмездного пользования, пожизненного наследуемого владения, постоянного (бессрочного) пользования, сервитута (положения </w:t>
      </w:r>
      <w:hyperlink r:id="rId135" w:tooltip="https://www.consultant.ru/document/cons_doc_LAW_482692/2ff07a69809b93673d729df06ffeb12445698a7b/#dst101140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статей 213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- </w:t>
      </w:r>
      <w:hyperlink r:id="rId136" w:tooltip="https://www.consultant.ru/document/cons_doc_LAW_482692/0cc570be9e0effcaa271f91bc50df99791b6c774/#dst101157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216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Гражданского кодекса Российской Федерации, далее - ГК РФ).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Согласно положениям </w:t>
      </w:r>
      <w:hyperlink r:id="rId137" w:tooltip="https://www.consultant.ru/document/cons_doc_LAW_482692/f7871578ce9b026c450f64790704bd48c7d94bcb/#dst554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статьи 128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ГК РФ, к объектам гражданских прав относятся как вещи, так и иное имущество, в том числе имущественные права.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Земельный кодекс Российской Федерации </w:t>
      </w:r>
      <w:hyperlink r:id="rId138" w:tooltip="https://www.consultant.ru/document/cons_doc_LAW_501324/886c3f46d3618505423dae8baff0b76754c1c231/#dst100040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(часть 3 статьи 5)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 например, к правообладателям земельных участков относит собственников земельных участков, землепользователей (лиц, владеющих и пользующихся земельными участками на праве постоянного (бессрочного) пользования или на праве безвозмездного пользования), земл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евладельцев (лиц, владеющих и пользующихся земельными участками на праве пожизненного наследуемого владения), а также арендаторов земельных участков (лиц, владеющих и пользующихся земельными участками по договору аренды, договору субаренды).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Учитывая изложенное, полагаем, что для случаев предоставления содержащихся в ЕГРН обобщенных актуальных сведений об установленных в пользу отдельного лица ограничениях прав и (или) обременениях объекта недвижимости под правообладателем в контексте </w:t>
      </w:r>
      <w:hyperlink r:id="rId139" w:tooltip="https://www.consultant.ru/document/cons_doc_LAW_500103/e064cc95b1bdffa4d12abb92fdfc56dea94198df/#dst1075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части 13 статьи 62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следует рассматривать лицо, в пользу которого зарегистрировано ограничение права и (или) обременение объекта недвижимости.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Также отмечаем, что в соответствии с </w:t>
      </w:r>
      <w:hyperlink r:id="rId140" w:tooltip="https://www.consultant.ru/document/cons_doc_LAW_472186/57cfe57e2aab59c92d9eaa8061b4023083c4ea09/#dst66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пунктом 5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заполнения форм выписок из ЕГРН сведения в выписки из ЕГРН заносятся в полном соответствии со сведениями, внесенными в ЕГРН.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В соответствии с </w:t>
      </w:r>
      <w:hyperlink r:id="rId141" w:tooltip="https://www.consultant.ru/document/cons_doc_LAW_500103/b6cb723e03231cd3029bbe4a271c3554c68ab85f/#dst100015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частью 6 статьи 1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Закона N 218-ФЗ в случаях, установленных федеральным законом, государственной регистрации подлежат возникающие, в том числе на основании договора, либо акта органа государственной власти, либо акта органа местного самоуправления, ограничения прав и обреме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нения недвижимого имущества, в частности сервитут, ипотека, доверительное управление, аренда, наем жилого помещения.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Согласно </w:t>
      </w:r>
      <w:hyperlink r:id="rId142" w:tooltip="https://www.consultant.ru/document/cons_doc_LAW_485370/610acad3c9b022a6c9245b9b75ff412b82bd64f0/#dst101022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пунктам 114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, </w:t>
      </w:r>
      <w:hyperlink r:id="rId143" w:tooltip="https://www.consultant.ru/document/cons_doc_LAW_485370/610acad3c9b022a6c9245b9b75ff412b82bd64f0/#dst101034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116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ведения Единого государственного реестра недвижимости, утвержденного приказом Росреестра от 07.12.2023 N П/0514, при государственной регистрации договора аренды недвижимого имущества в реестр прав на недвижимость ЕГРН вносятся записи о сделке - го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сударственной регистрации договора аренды, а также об ограничении права и обременении объекта недвижимости.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Таким образом, в записях ЕГРН аренда недвижимого имущества отображается как ограничение права и обременение объекта недвижимости. При этом арендодатель является лицом, права которого ограничиваются, обременяются арендой, а арендатор - лицом, в пользу котор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ого зарегистрированы ограничение права, обременение объекта недвижимости.</w:t>
      </w:r>
      <w:r>
        <w:rPr>
          <w:b w:val="0"/>
          <w:bCs w:val="0"/>
          <w:sz w:val="28"/>
          <w:szCs w:val="28"/>
        </w:rPr>
      </w:r>
      <w:r>
        <w:rPr>
          <w:sz w:val="28"/>
          <w:szCs w:val="28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Исходя из изложенного, учитывая </w:t>
      </w:r>
      <w:hyperlink r:id="rId144" w:tooltip="https://www.consultant.ru/document/cons_doc_LAW_472186/25ecf26d83a97949eb25ed5c91797445c91f8ddd/#dst457" w:history="1">
        <w:r>
          <w:rPr>
            <w:rStyle w:val="1310"/>
            <w:rFonts w:ascii="Times New Roman" w:hAnsi="Times New Roman" w:eastAsia="Times New Roman" w:cs="Times New Roman"/>
            <w:b w:val="0"/>
            <w:bCs w:val="0"/>
            <w:color w:val="1a0dab"/>
            <w:sz w:val="28"/>
            <w:szCs w:val="28"/>
            <w:u w:val="single"/>
          </w:rPr>
          <w:t xml:space="preserve">пункт 233</w:t>
        </w:r>
      </w:hyperlink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 Порядка N П/0329, в выписке из ЕГРН об установленных в пользу отдельного лица ограничениях прав и (или) обременениях объекта недвижимости, выданной по запросу арендатора недвижимого имущества, должны отображаться в том числе сведения об аренде этого недви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жимого имущества (в случае, если аренда зарегистрирована в ЕГРН).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contextualSpacing/>
        <w:ind w:left="0" w:right="0" w:firstLine="540"/>
        <w:jc w:val="both"/>
        <w:spacing w:before="210" w:after="0" w:line="240" w:lineRule="auto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jc w:val="right"/>
        <w:spacing w:line="276" w:lineRule="auto"/>
        <w:rPr>
          <w:b/>
          <w:bCs/>
          <w:lang w:eastAsia="ru-RU"/>
          <w14:ligatures w14:val="none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Э.У.ГАЛИШИ</w:t>
      </w:r>
      <w:r>
        <w:rPr>
          <w:sz w:val="28"/>
          <w:szCs w:val="28"/>
        </w:rPr>
        <w:t xml:space="preserve">Н</w:t>
      </w:r>
      <w:r>
        <w:rPr>
          <w:b/>
          <w:bCs/>
          <w:lang w:eastAsia="ru-RU"/>
          <w14:ligatures w14:val="none"/>
        </w:rPr>
      </w:r>
      <w:r>
        <w:rPr>
          <w:b/>
          <w:bCs/>
          <w:lang w:eastAsia="ru-RU"/>
          <w14:ligatures w14:val="none"/>
        </w:rPr>
      </w:r>
    </w:p>
    <w:p>
      <w:pPr>
        <w:ind w:firstLine="708"/>
        <w:jc w:val="both"/>
        <w:rPr>
          <w:rStyle w:val="1313"/>
          <w:rFonts w:ascii="Times New Roman" w:hAnsi="Times New Roman" w:cs="Times New Roman"/>
          <w:b/>
          <w:bCs/>
          <w:i/>
          <w:sz w:val="28"/>
          <w:szCs w:val="28"/>
          <w14:ligatures w14:val="none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/>
        </w:rPr>
      </w:r>
      <w:r>
        <w:rPr>
          <w:rStyle w:val="1313"/>
          <w:rFonts w:ascii="Times New Roman" w:hAnsi="Times New Roman" w:cs="Times New Roman"/>
          <w:b/>
          <w:bCs/>
          <w:i/>
          <w:sz w:val="28"/>
          <w:szCs w:val="28"/>
          <w14:ligatures w14:val="none"/>
        </w:rPr>
      </w:r>
      <w:r>
        <w:rPr>
          <w:rStyle w:val="1313"/>
          <w:rFonts w:ascii="Times New Roman" w:hAnsi="Times New Roman" w:cs="Times New Roman"/>
          <w:b/>
          <w:bCs/>
          <w:i/>
          <w:sz w:val="28"/>
          <w:szCs w:val="28"/>
          <w14:ligatures w14:val="none"/>
        </w:rPr>
      </w:r>
    </w:p>
    <w:p>
      <w:pPr>
        <w:ind w:firstLine="708"/>
        <w:jc w:val="both"/>
        <w:rPr>
          <w:rStyle w:val="1313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pPr>
      <w:r>
        <w:rPr>
          <w:rStyle w:val="1313"/>
          <w:rFonts w:ascii="Times New Roman" w:hAnsi="Times New Roman" w:cs="Times New Roman"/>
          <w:b/>
          <w:i/>
          <w:sz w:val="28"/>
          <w:szCs w:val="28"/>
        </w:rPr>
        <w:t xml:space="preserve">Новости информационных сайтов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Минэкономразвития России</w:t>
      </w:r>
      <w:r>
        <w:rPr>
          <w:rStyle w:val="1313"/>
          <w:rFonts w:ascii="Times New Roman" w:hAnsi="Times New Roman" w:cs="Times New Roman"/>
          <w:b/>
          <w:i/>
          <w:sz w:val="28"/>
          <w:szCs w:val="28"/>
        </w:rPr>
        <w:t xml:space="preserve">, Росреестра и Управления Росреестра по Новосибирской области</w:t>
      </w:r>
      <w:r>
        <w:rPr>
          <w:rStyle w:val="1313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  <w:r>
        <w:rPr>
          <w:rStyle w:val="1313"/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</w:p>
    <w:p>
      <w:pPr>
        <w:pStyle w:val="1300"/>
        <w:contextualSpacing/>
        <w:jc w:val="both"/>
        <w:rPr>
          <w:b/>
        </w:rPr>
        <w:suppressLineNumbers w:val="0"/>
      </w:pPr>
      <w:r>
        <w:rPr>
          <w:b/>
        </w:rPr>
        <w:t xml:space="preserve">1.</w:t>
      </w:r>
      <w:r>
        <w:rPr>
          <w:b/>
        </w:rPr>
        <w:t xml:space="preserve"> </w:t>
      </w:r>
      <w:r>
        <w:rPr>
          <w:b/>
          <w:bCs/>
          <w:color w:val="292c2f"/>
        </w:rPr>
        <w:t xml:space="preserve">Общественный совет при Росреестре определил направления своей работы на 2025 год.</w:t>
      </w:r>
      <w:r>
        <w:rPr>
          <w:b/>
        </w:rPr>
      </w:r>
      <w:r>
        <w:rPr>
          <w:b/>
        </w:rPr>
      </w:r>
    </w:p>
    <w:p>
      <w:pPr>
        <w:contextualSpacing/>
        <w:jc w:val="both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b w:val="0"/>
          <w:bCs w:val="0"/>
          <w:color w:val="292c2f"/>
        </w:rPr>
        <w:t xml:space="preserve">Руководитель Росреестра </w:t>
      </w:r>
      <w:r>
        <w:rPr>
          <w:b w:val="0"/>
          <w:bCs w:val="0"/>
          <w:color w:val="292c2f"/>
        </w:rPr>
        <w:t xml:space="preserve">Олег Скуфинский</w:t>
      </w:r>
      <w:r>
        <w:rPr>
          <w:b w:val="0"/>
          <w:bCs w:val="0"/>
          <w:color w:val="292c2f"/>
        </w:rPr>
        <w:t xml:space="preserve"> провёл первое в 2025 году заседание Общественного совета при ведомстве. Он высоко оценил вклад членов Совета в развитие сферы земли и недвижимости, отметил ключевые результаты работы ведомства за прошедший год и обозначил задачи на предстоящий период.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contextualSpacing/>
        <w:jc w:val="both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uppressLineNumbers w:val="0"/>
      </w:pPr>
      <w:r>
        <w:rPr>
          <w:b w:val="0"/>
          <w:bCs w:val="0"/>
          <w:color w:val="292c2f"/>
        </w:rPr>
        <w:t xml:space="preserve">«В 2024 году мы оказали 407 млн услуг, что в 3 раза больше, чем 5 лет назад. Существе</w:t>
      </w:r>
      <w:r>
        <w:rPr>
          <w:b w:val="0"/>
          <w:bCs w:val="0"/>
          <w:color w:val="292c2f"/>
        </w:rPr>
        <w:t xml:space="preserve">нно выросла производительность труда. Это показатель качества работы всей системы Большого Росреестра. При непосредственном участии Общественного совета в прошлом году при</w:t>
      </w:r>
      <w:r>
        <w:rPr>
          <w:b w:val="0"/>
          <w:bCs w:val="0"/>
          <w:color w:val="292c2f"/>
        </w:rPr>
        <w:t xml:space="preserve">нято 22 федеральных закона, направленных на сокращение процедур и сроков оказания услуг в сфере земли и недвижимости, повышение эффективности использования земель, совершенствование кадастровой оценки и т.д. Введена в эксплуатацию вторая очередь Единой циф</w:t>
      </w:r>
      <w:r>
        <w:rPr>
          <w:b w:val="0"/>
          <w:bCs w:val="0"/>
          <w:color w:val="292c2f"/>
        </w:rPr>
        <w:t xml:space="preserve">ровой платформы «Национальная система пространственных данных», на базе которой сегодня функционируют 20 сервисов для людей, государства и бизнеса. Благодаря Общественному совету мы получаем обратную связь от наших пользователей, оперативно выявляем сложно</w:t>
      </w:r>
      <w:r>
        <w:rPr>
          <w:b w:val="0"/>
          <w:bCs w:val="0"/>
          <w:color w:val="292c2f"/>
        </w:rPr>
        <w:t xml:space="preserve">сти и прорабатываем все вопросы и предложения. В этом году необходимо усилить данное взаимодействие в целях реализации всех задач, поставленных руководством страны»,</w:t>
      </w:r>
      <w:r>
        <w:rPr>
          <w:b w:val="0"/>
          <w:bCs w:val="0"/>
          <w:color w:val="292c2f"/>
        </w:rPr>
        <w:t xml:space="preserve"> - сказал </w:t>
      </w:r>
      <w:r>
        <w:rPr>
          <w:b w:val="0"/>
          <w:bCs w:val="0"/>
          <w:color w:val="292c2f"/>
        </w:rPr>
        <w:t xml:space="preserve">Олег Скуфинский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его словам, приоритетными направлениями деятельности на 2025 год являются: совершенствование законодательства в области государственной кадастровой оценки, предоставления земельных участков правообладателям подземных зданий и сооружений, а также у</w:t>
      </w:r>
      <w:r>
        <w:rPr>
          <w:b w:val="0"/>
          <w:bCs w:val="0"/>
          <w:color w:val="292c2f"/>
        </w:rPr>
        <w:t xml:space="preserve">частков, на которых расположены гаражи; внедрение ФГИС ЕГРН 2.0; реализация проекта «Полный и точный реестр» в целях повышения полноты и качества данных ЕГРН – к 2030 году этот показатель должен составить 95%; создание территориальных управлений ведомства </w:t>
      </w:r>
      <w:r>
        <w:rPr>
          <w:b w:val="0"/>
          <w:bCs w:val="0"/>
          <w:color w:val="292c2f"/>
        </w:rPr>
        <w:t xml:space="preserve">в Республике Крым и Севастополе; дальнейшая работа по вовлечению недвижимости в экономический оборот – реализация проектов «Земля для стройки» и «Земля для туризма».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Кроме того, Росреестр сосредоточится на развитии функционала Единой цифровой платформы НС</w:t>
      </w:r>
      <w:r>
        <w:rPr>
          <w:b w:val="0"/>
          <w:bCs w:val="0"/>
          <w:color w:val="292c2f"/>
        </w:rPr>
        <w:t xml:space="preserve">ПД, импортозамещении геоинформационных технологий, дальнейшей подготовке кадров и развитии международной деятельности.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Председатель Общественного совета при Росреестре </w:t>
      </w:r>
      <w:r>
        <w:rPr>
          <w:b w:val="0"/>
          <w:bCs w:val="0"/>
          <w:color w:val="292c2f"/>
        </w:rPr>
        <w:t xml:space="preserve">Александр Каньшин</w:t>
      </w:r>
      <w:r>
        <w:rPr>
          <w:b w:val="0"/>
          <w:bCs w:val="0"/>
          <w:color w:val="292c2f"/>
        </w:rPr>
        <w:t xml:space="preserve"> отметил высокую эффективность внедрения ведомством цифровых технологий, что способствует улучшению качества жизни граждан, развитию бизнеса и инвестиционного климата.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Так, за период с 2020 года доля электронной ипотеки выросла в 9 раз - до 84%, а доля эл</w:t>
      </w:r>
      <w:r>
        <w:rPr>
          <w:b w:val="0"/>
          <w:bCs w:val="0"/>
          <w:color w:val="292c2f"/>
        </w:rPr>
        <w:t xml:space="preserve">ектронных услуг - в 3 раза, до 60%. Срок регистрации прав сократился в 3,6 раз – до 1,4 дня, а срок кадастрового учёта – в 2,5 раза, до 1,6 дня. В 2 раза сокращены приостановки по регистрации прав – до 1,2%, по кадастровому учёту – в 6 раз, до 1,6%.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«Показатели эффективности деятельности ведомства растут, цифровые услуги становятся доступнее для граждан, взаимодействие с участниками рынка недвижимости происходит быстрее и качественнее. Цифровизацию нужно продолжать, мы все почувствовали преимущества и</w:t>
      </w:r>
      <w:r>
        <w:rPr>
          <w:b w:val="0"/>
          <w:bCs w:val="0"/>
          <w:color w:val="292c2f"/>
        </w:rPr>
        <w:t xml:space="preserve"> возможности, которые она нам дает. Кроме того, в преддверии 80-летия Победы в Великой Отечественной войне одним из важных направлений деятельности Совета на предстоящий год должно стать проведение совместно с Росреестром патриотических мероприятий, направ</w:t>
      </w:r>
      <w:r>
        <w:rPr>
          <w:b w:val="0"/>
          <w:bCs w:val="0"/>
          <w:color w:val="292c2f"/>
        </w:rPr>
        <w:t xml:space="preserve">ленных на сохранение исторической памяти Победы советского народа, а также на воспитание подрастающего поколения, знающего правду о героическом прошлом своей Родины. В рамках Совета создана Комиссия по укреплению и сохранению духовно-нравственных ценностей</w:t>
      </w:r>
      <w:r>
        <w:rPr>
          <w:b w:val="0"/>
          <w:bCs w:val="0"/>
          <w:color w:val="292c2f"/>
        </w:rPr>
        <w:t xml:space="preserve"> и исторического наследия, на площадке которой мы будем заниматься этой работой»,</w:t>
      </w:r>
      <w:r>
        <w:rPr>
          <w:b w:val="0"/>
          <w:bCs w:val="0"/>
          <w:color w:val="292c2f"/>
        </w:rPr>
        <w:t xml:space="preserve"> - отметил </w:t>
      </w:r>
      <w:r>
        <w:rPr>
          <w:b w:val="0"/>
          <w:bCs w:val="0"/>
          <w:color w:val="292c2f"/>
        </w:rPr>
        <w:t xml:space="preserve">Александр Каньшин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В развитие темы патриотических мероприятий руководитель Росреестра </w:t>
      </w:r>
      <w:r>
        <w:rPr>
          <w:b w:val="0"/>
          <w:bCs w:val="0"/>
          <w:color w:val="292c2f"/>
        </w:rPr>
        <w:t xml:space="preserve">Олег Скуфинский</w:t>
      </w:r>
      <w:r>
        <w:rPr>
          <w:b w:val="0"/>
          <w:bCs w:val="0"/>
          <w:color w:val="292c2f"/>
        </w:rPr>
        <w:t xml:space="preserve"> также отметил необходимость рассказывать в школах об истории отечественной картографии и знакомить молодежь с географическими объектами, названными в честь героев Великой Отечественной войны, современных войн и вооруженных конфликтов. Он подчеркнул важнос</w:t>
      </w:r>
      <w:r>
        <w:rPr>
          <w:b w:val="0"/>
          <w:bCs w:val="0"/>
          <w:color w:val="292c2f"/>
        </w:rPr>
        <w:t xml:space="preserve">ть для подрастающего поколения исторической памяти, которая увековечивается в географических наименованиях. Кроме того, глава ведомства высказал идею присваивать имена героев специальной военной операции объектам, расположенным в новых регионах.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Ответс</w:t>
      </w:r>
      <w:r>
        <w:rPr>
          <w:b w:val="0"/>
          <w:bCs w:val="0"/>
          <w:color w:val="292c2f"/>
        </w:rPr>
        <w:t xml:space="preserve">твенный секретарь Общественного совета </w:t>
      </w:r>
      <w:r>
        <w:rPr>
          <w:b w:val="0"/>
          <w:bCs w:val="0"/>
          <w:color w:val="292c2f"/>
        </w:rPr>
        <w:t xml:space="preserve">Сергей Дуброва</w:t>
      </w:r>
      <w:r>
        <w:rPr>
          <w:b w:val="0"/>
          <w:bCs w:val="0"/>
          <w:color w:val="292c2f"/>
        </w:rPr>
        <w:t xml:space="preserve">, в свою очередь, сообщил, что Росреестр совместно с членами Совета реализует информационную политику в целях повышения уровня осведомленности граждан о деятельности ведомства.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«Росреестр 3-й год подряд входит в число лидеров по эффективности работы общественных советов при федеральных органах исполнительной власти. Среди основных показателей этого рейтинга - информационная открытость и публичность. Наш общественный совет являетс</w:t>
      </w:r>
      <w:r>
        <w:rPr>
          <w:b w:val="0"/>
          <w:bCs w:val="0"/>
          <w:color w:val="292c2f"/>
        </w:rPr>
        <w:t xml:space="preserve">я важным каналом взаимодействия ведомства с гражданами и профессиональным сообществом. Именно поэтому необходимо усилить работу и повысить активность каждого члена Совета в информационном пространстве»,</w:t>
      </w:r>
      <w:r>
        <w:rPr>
          <w:b w:val="0"/>
          <w:bCs w:val="0"/>
          <w:color w:val="292c2f"/>
        </w:rPr>
        <w:t xml:space="preserve"> – подчеркнул </w:t>
      </w:r>
      <w:r>
        <w:rPr>
          <w:b w:val="0"/>
          <w:bCs w:val="0"/>
          <w:color w:val="292c2f"/>
        </w:rPr>
        <w:t xml:space="preserve">Сергей Дуброва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ходе заседания заместитель председателя Общественного совета при Росреестре, президент Некоммерческого партнерства «Национальное объединение технологических и ценовых аудиторов» </w:t>
      </w:r>
      <w:r>
        <w:rPr>
          <w:b w:val="0"/>
          <w:bCs w:val="0"/>
          <w:color w:val="292c2f"/>
        </w:rPr>
        <w:t xml:space="preserve">Анна Лупашко</w:t>
      </w:r>
      <w:r>
        <w:rPr>
          <w:b w:val="0"/>
          <w:bCs w:val="0"/>
          <w:color w:val="292c2f"/>
        </w:rPr>
        <w:t xml:space="preserve"> и заместитель управляющего директора «Авито» </w:t>
      </w:r>
      <w:r>
        <w:rPr>
          <w:b w:val="0"/>
          <w:bCs w:val="0"/>
          <w:color w:val="292c2f"/>
        </w:rPr>
        <w:t xml:space="preserve">Михаил Рыженков</w:t>
      </w:r>
      <w:r>
        <w:rPr>
          <w:b w:val="0"/>
          <w:bCs w:val="0"/>
          <w:color w:val="292c2f"/>
        </w:rPr>
        <w:t xml:space="preserve"> рассказали о регулировании рынка риелторских услуг и его влиянии на малый и средний бизнес.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Руководитель Департамента залогов – старший вице-президент Банка ВТБ (ПАО) </w:t>
      </w:r>
      <w:r>
        <w:rPr>
          <w:b w:val="0"/>
          <w:bCs w:val="0"/>
          <w:color w:val="292c2f"/>
        </w:rPr>
        <w:t xml:space="preserve">Антон Вовк</w:t>
      </w:r>
      <w:r>
        <w:rPr>
          <w:b w:val="0"/>
          <w:bCs w:val="0"/>
          <w:color w:val="292c2f"/>
        </w:rPr>
        <w:t xml:space="preserve"> озвучил предложения кредитных организаций по совершенствованию законодательства в сфере государственной регистрации прав. О необходимости усилить работу в области исправления реестровых ошибок в ЕГРН заявила президент Ассоциации «Национальное объединение </w:t>
      </w:r>
      <w:r>
        <w:rPr>
          <w:b w:val="0"/>
          <w:bCs w:val="0"/>
          <w:color w:val="292c2f"/>
        </w:rPr>
        <w:t xml:space="preserve">саморегулируемых организаций кадастровых инженеров» </w:t>
      </w:r>
      <w:r>
        <w:rPr>
          <w:b w:val="0"/>
          <w:bCs w:val="0"/>
          <w:color w:val="292c2f"/>
        </w:rPr>
        <w:t xml:space="preserve">Алла Овчинникова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Сергей Максимов</w:t>
      </w:r>
      <w:r>
        <w:rPr>
          <w:b w:val="0"/>
          <w:bCs w:val="0"/>
          <w:color w:val="292c2f"/>
        </w:rPr>
        <w:t xml:space="preserve">, профессор, заведующий кафедрой землеустройства и кадастров Санкт-Петербургского государственного университета выступил с докладом о взаимодействии Росреестра и саморегулируемых организаций. Об электронном взаимодействии группы компаний «Газпром» и Росрее</w:t>
      </w:r>
      <w:r>
        <w:rPr>
          <w:b w:val="0"/>
          <w:bCs w:val="0"/>
          <w:color w:val="292c2f"/>
        </w:rPr>
        <w:t xml:space="preserve">стра в части запроса сведений и совершения учетно-регистрационных действий рассказал президент Ассоциации НП «Клуб корпоративных собственников» </w:t>
      </w:r>
      <w:r>
        <w:rPr>
          <w:b w:val="0"/>
          <w:bCs w:val="0"/>
          <w:color w:val="292c2f"/>
        </w:rPr>
        <w:t xml:space="preserve">Алексей Харламов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итогам заседания </w:t>
      </w:r>
      <w:r>
        <w:rPr>
          <w:b w:val="0"/>
          <w:bCs w:val="0"/>
          <w:color w:val="292c2f"/>
        </w:rPr>
        <w:t xml:space="preserve">Олег Скуфинский</w:t>
      </w:r>
      <w:r>
        <w:rPr>
          <w:b w:val="0"/>
          <w:bCs w:val="0"/>
          <w:color w:val="292c2f"/>
        </w:rPr>
        <w:t xml:space="preserve"> поручил профильным структурным подразделениям Службы проработать совместно с членами Общественного совета все представленные предложения и рекомендации, а также сформулировать позицию ведомства по каждому вопро</w:t>
      </w:r>
      <w:r>
        <w:rPr>
          <w:rFonts w:ascii="Roboto" w:hAnsi="Roboto" w:eastAsia="Roboto" w:cs="Roboto"/>
          <w:color w:val="292c2f"/>
          <w:sz w:val="24"/>
        </w:rPr>
        <w:t xml:space="preserve">су.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  <w:highlight w:val="none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2. </w:t>
      </w:r>
      <w:r>
        <w:rPr>
          <w:b/>
          <w:bCs/>
          <w:color w:val="292c2f"/>
        </w:rPr>
        <w:t xml:space="preserve">В ЕГРН внесено свыше 91% сведений об объектах культурного наследия федерального значения.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Количество объектов культурного наследия (ОКН) федерального значения, сведения о которых внесены в Единый государственный реестр недвижимости (ЕГРН), с 2021 года увеличилось на 5,9 тыс. – до 10,7 тыс. Это составляет 91,3% от общего количества таких объекто</w:t>
      </w:r>
      <w:r>
        <w:rPr>
          <w:b w:val="0"/>
          <w:bCs w:val="0"/>
          <w:color w:val="292c2f"/>
        </w:rPr>
        <w:t xml:space="preserve">в по всей стране.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марта 2020 года Росреестр реализует проект «Полный и точный реестр» - комплексный план по наполнению ЕГРН необходимыми сведениями об объектах недвижимости. Одним из направлений является анализ и сверка данных об ОКН и границах их терри</w:t>
      </w:r>
      <w:r>
        <w:rPr>
          <w:b w:val="0"/>
          <w:bCs w:val="0"/>
          <w:color w:val="292c2f"/>
        </w:rPr>
        <w:t xml:space="preserve">торий.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«Всего на территории России расположено 11,7 тыс. объектов культурного наследия федерального значения, подлежащих государственному кадастровому учету, а также 15,7 тыс. требующих установления территорий. Из них в ЕГРН внесены сведения о 10,7 тыс. ОКН и 11 </w:t>
      </w:r>
      <w:r>
        <w:rPr>
          <w:b w:val="0"/>
          <w:bCs w:val="0"/>
          <w:color w:val="292c2f"/>
        </w:rPr>
        <w:t xml:space="preserve">тыс. территорий, что составляет 91,3% и 70% соответственно от их общего количества. За последние годы динамика этой работы демонстрировала устойчивый рост – если в 2021 году в реестре был 41% таких объектов, то в 2022-м – уже 71%, а в 2024-м – 85%. Внесени</w:t>
      </w:r>
      <w:r>
        <w:rPr>
          <w:b w:val="0"/>
          <w:bCs w:val="0"/>
          <w:color w:val="292c2f"/>
        </w:rPr>
        <w:t xml:space="preserve">е данных в ЕГРН необходимо не только для сохранения и восстановления объектов культурного наследия, но и для дальнейшего развития территорий, повышения их инвестиционной привлекательности, продвижения внутреннего и внешнего туризма»,</w:t>
      </w:r>
      <w:r>
        <w:rPr>
          <w:b w:val="0"/>
          <w:bCs w:val="0"/>
          <w:color w:val="292c2f"/>
        </w:rPr>
        <w:t xml:space="preserve"> - сказала заместитель руководителя Росреестра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её словам, до конца 2025 года планируется довести показатели по внесению сведений об ОКН федерального значения до 95% и о территориях таких объектов до 80%.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Среди ОКН федерального значения, внесённых в ЕГРН с 2021 года, такие объекты как: первый рус</w:t>
      </w:r>
      <w:r>
        <w:rPr>
          <w:b w:val="0"/>
          <w:bCs w:val="0"/>
          <w:color w:val="292c2f"/>
        </w:rPr>
        <w:t xml:space="preserve">ский курорт «Марциальные воды» в Республике Карелия, открытый в 1719 г. по указанию Петра I (2021 г.), Ансамбль Воскресенского собора XVII–XIX вв. в Новгородской области (2022 г.), «Комплекс зданий Восточно-Сибирского отдела Русского Географического общест</w:t>
      </w:r>
      <w:r>
        <w:rPr>
          <w:b w:val="0"/>
          <w:bCs w:val="0"/>
          <w:color w:val="292c2f"/>
        </w:rPr>
        <w:t xml:space="preserve">ва, 1883-1891 гг.» в Иркутской области (2023 г.) и другие.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Среди объектов, сведения о которых внесены в 2024 году, есть ОКН, посвящённые героическим событиям. Например, «Комплекс фортификационных сооружений Владивостокской крепости, 1889-1914 гг.» в Примо</w:t>
      </w:r>
      <w:r>
        <w:rPr>
          <w:b w:val="0"/>
          <w:bCs w:val="0"/>
          <w:color w:val="292c2f"/>
        </w:rPr>
        <w:t xml:space="preserve">рском крае. Крепость принадлежит к числу самых мощных приморских фортификационных сооружений мира. Также в списке мемориальный комплекс «Героям Сталинградской битвы» на Мамаевом кургане» в Волгоградской области, который увековечил память о тяжелых боях при</w:t>
      </w:r>
      <w:r>
        <w:rPr>
          <w:b w:val="0"/>
          <w:bCs w:val="0"/>
          <w:color w:val="292c2f"/>
        </w:rPr>
        <w:t xml:space="preserve"> обороне города во время Великой Отечественной войны.</w:t>
        <w:br/>
        <w:t xml:space="preserve">Кроме того, в 2024 году в ЕГРН внесли сведения о таких объектах, как «Екатерининский дворец» в Москве и «Дворец Великого князя Михаила Павловича (Русский музей Императора Александра III)» в Санкт-Петерб</w:t>
      </w:r>
      <w:r>
        <w:rPr>
          <w:b w:val="0"/>
          <w:bCs w:val="0"/>
          <w:color w:val="292c2f"/>
        </w:rPr>
        <w:t xml:space="preserve">урге.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3. </w:t>
      </w:r>
      <w:r>
        <w:rPr>
          <w:b/>
          <w:bCs/>
          <w:color w:val="292c2f"/>
        </w:rPr>
        <w:t xml:space="preserve">С 2026 года обжаловать решения о приостановлении регистрации прав можно будет в специальных апелляционных комиссиях.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разработал </w:t>
      </w:r>
      <w:hyperlink r:id="rId145" w:tooltip="https://regulation.gov.ru/Regulation/Npa/PublicView?npaID=155703" w:history="1">
        <w:r>
          <w:rPr>
            <w:b w:val="0"/>
            <w:bCs w:val="0"/>
            <w:color w:val="292c2f"/>
          </w:rPr>
          <w:t xml:space="preserve">проект приказа</w:t>
        </w:r>
      </w:hyperlink>
      <w:r>
        <w:rPr>
          <w:b w:val="0"/>
          <w:bCs w:val="0"/>
          <w:color w:val="292c2f"/>
        </w:rPr>
        <w:t xml:space="preserve"> о порядке формирования и работы апелляционных комиссий, в которых можно будет обжаловать решения о приостановлении государственной регистрации прав на недвижимое имущество.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Возможность обжалования решений о приостановлении государственной регистрации пра</w:t>
      </w:r>
      <w:r>
        <w:rPr>
          <w:b w:val="0"/>
          <w:bCs w:val="0"/>
          <w:color w:val="292c2f"/>
        </w:rPr>
        <w:t xml:space="preserve">в появится у россиян с 1 января 2026 года. Соответствующий закон № 207 ФЗ был принят 22 июля 2024 года. Ранее досудебный порядок обжалования действовал только в отношении решений о приостановлении кадастрового учета.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«Отсутствие досудебного порядка обжалования решений государственного регистратора о приостановлении регистрации прав существенно ограничивало возможности защиты прав и законных интересов получателей услуг Росреестра. Данный закон и разработанный к нему про</w:t>
      </w:r>
      <w:r>
        <w:rPr>
          <w:b w:val="0"/>
          <w:bCs w:val="0"/>
          <w:color w:val="292c2f"/>
        </w:rPr>
        <w:t xml:space="preserve">ект приказа позволят урегулировать часть спорных решений в досудебном порядке, поможет гражданам решить вопросы в короткие сроки путем обращения в специально созданные апелляционные комиссии, снизит нагрузку на судебную систему»,</w:t>
      </w:r>
      <w:r>
        <w:rPr>
          <w:b w:val="0"/>
          <w:bCs w:val="0"/>
          <w:color w:val="292c2f"/>
        </w:rPr>
        <w:t xml:space="preserve"> - отметил статс-секретарь – заместитель руководителя Росреестра </w:t>
      </w:r>
      <w:r>
        <w:rPr>
          <w:b w:val="0"/>
          <w:bCs w:val="0"/>
          <w:color w:val="292c2f"/>
        </w:rPr>
        <w:t xml:space="preserve">Алексей Бутовецкий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частности, предполагается создать центральную апелляционную комиссию, межрегиональные и региональные апелляционные комиссии. Они будут рассматривать заявления об обжаловании, если уведомления о приостановлении кадастрового учета и (или) регистрации пр</w:t>
      </w:r>
      <w:r>
        <w:rPr>
          <w:b w:val="0"/>
          <w:bCs w:val="0"/>
          <w:color w:val="292c2f"/>
        </w:rPr>
        <w:t xml:space="preserve">ав было направлено Росреестром, территориальными органами ведомства, действующими на территориях двух и более субъектов РФ, и территориальным органом Росреестра, действующим на территории соответствующего субъекта, соответственно.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состав комиссий будут </w:t>
      </w:r>
      <w:r>
        <w:rPr>
          <w:b w:val="0"/>
          <w:bCs w:val="0"/>
          <w:color w:val="292c2f"/>
        </w:rPr>
        <w:t xml:space="preserve">включаться по три представителя от органа регистрации прав и от национального объединения саморегулируемых организаций кадастровых инженеров, которые подлежат ротации один раз в пять лет.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Отмечается, что заседания могут проводиться как в очной форме, так </w:t>
      </w:r>
      <w:r>
        <w:rPr>
          <w:b w:val="0"/>
          <w:bCs w:val="0"/>
          <w:color w:val="292c2f"/>
        </w:rPr>
        <w:t xml:space="preserve">и в форме дистанционного участия. На них возможно присутствие самих заявителей, государственных регистраторов прав, принявших обжалуемые решения, и иные лица.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 рассмотрении заявлений об обжаловании апелляционная комиссия будет оценивать обоснованность </w:t>
      </w:r>
      <w:r>
        <w:rPr>
          <w:b w:val="0"/>
          <w:bCs w:val="0"/>
          <w:color w:val="292c2f"/>
        </w:rPr>
        <w:t xml:space="preserve">принятия решения о приостановлении и при необходимости запрашивать необходимые документы и материалы. Результат будет направляться заявителю и в орган регистрации прав, который принял решение о приостановлении.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Заявление об обжаловании необходимо предоста</w:t>
      </w:r>
      <w:r>
        <w:rPr>
          <w:b w:val="0"/>
          <w:bCs w:val="0"/>
          <w:color w:val="292c2f"/>
        </w:rPr>
        <w:t xml:space="preserve">вить в течение 15 рабочих дней с даты принятия решения о приостановлении. Оно подается в апелляционную комиссию по месту нахождения органа регистрации прав, который приняла данное решение. Это можно сделать как на бумаге, так и в электронной форме на Едино</w:t>
      </w:r>
      <w:r>
        <w:rPr>
          <w:b w:val="0"/>
          <w:bCs w:val="0"/>
          <w:color w:val="292c2f"/>
        </w:rPr>
        <w:t xml:space="preserve">м портале госуслуг или с помощью сервиса «Личный кабинет кадастрового инженера» на сайте Росреестра.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заявлении нужно указать сведения о заявителе, сведения о кадастровом инженере, подготовившем межевой, технический план или акт обследования, который был</w:t>
      </w:r>
      <w:r>
        <w:rPr>
          <w:b w:val="0"/>
          <w:bCs w:val="0"/>
          <w:color w:val="292c2f"/>
        </w:rPr>
        <w:t xml:space="preserve"> ранее представлен для кадастрового учета или регистрации прав. Кроме того, потребуется дата и номер заявления, по которому было принято решение о приостановлении, дата и номер самого уведомления о приостановлении, а также обоснование, почему заявитель не </w:t>
      </w:r>
      <w:r>
        <w:rPr>
          <w:b w:val="0"/>
          <w:bCs w:val="0"/>
          <w:color w:val="292c2f"/>
        </w:rPr>
        <w:t xml:space="preserve">согласен с данным решением.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Решение об отклонении или удовлетворении заявления должно быть принято в срок не более 15 рабочих дней со дня его регистрации. Результат будет определяться путем открытого голосования большинством голосов членов апелляционной к</w:t>
      </w:r>
      <w:r>
        <w:rPr>
          <w:b w:val="0"/>
          <w:bCs w:val="0"/>
          <w:color w:val="292c2f"/>
        </w:rPr>
        <w:t xml:space="preserve">омиссии, присутствующих на заседании.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Проектом приказа предусмотрена соответствующая форма заявления об обжаловании, а также перечень и формы документов, подготавливаемых в результате работы апелляционных комиссий.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настоящее время проект приказа находи</w:t>
      </w:r>
      <w:r>
        <w:rPr>
          <w:b w:val="0"/>
          <w:bCs w:val="0"/>
          <w:color w:val="292c2f"/>
        </w:rPr>
        <w:t xml:space="preserve">тся на общественном обсуждении.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</w:rPr>
        <w:t xml:space="preserve">4.</w:t>
      </w:r>
      <w:r>
        <w:rPr>
          <w:b/>
        </w:rPr>
        <w:t xml:space="preserve"> </w:t>
      </w:r>
      <w:r>
        <w:rPr>
          <w:b/>
          <w:bCs/>
          <w:color w:val="292c2f"/>
        </w:rPr>
        <w:t xml:space="preserve">«Государство для людей»: Росреестр участвует в реализации более 20 жизненных ситуаций для граждан и бизнеса</w:t>
      </w:r>
      <w:r>
        <w:rPr>
          <w:b/>
          <w:bCs/>
          <w:color w:val="292c2f"/>
        </w:rPr>
        <w:t xml:space="preserve">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федерального проекта «Государство для людей» Росреестр участвует в реализации более 20 жизненных ситуаций в сфере земли и недвижимости. С помощью готовых интерактивных инструкций граждане и представители бизнеса могут оперативно решить вопросы с п</w:t>
      </w:r>
      <w:r>
        <w:rPr>
          <w:b w:val="0"/>
          <w:bCs w:val="0"/>
          <w:color w:val="292c2f"/>
        </w:rPr>
        <w:t xml:space="preserve">редоставлением земельного участка, восстановлением утраченных документов, открытием своего бизнеса и т.д.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Проект «Государство для людей» утверждён Правительством России и реализуется с 2021 года органами власти на федеральном и региональном уровнях. Он на</w:t>
      </w:r>
      <w:r>
        <w:rPr>
          <w:b w:val="0"/>
          <w:bCs w:val="0"/>
          <w:color w:val="292c2f"/>
        </w:rPr>
        <w:t xml:space="preserve">правлен на создание нового взаимодействия государства, граждан и бизнеса, повышение качества жизни, рост доверия людей к государству с помощью клиентоцентричного подхода.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Росреестра клиентоцентричность является одним из ключевых направлений развития. </w:t>
      </w:r>
      <w:r>
        <w:rPr>
          <w:b w:val="0"/>
          <w:bCs w:val="0"/>
          <w:color w:val="292c2f"/>
        </w:rPr>
        <w:t xml:space="preserve">К внедрению данного подхода ведомство приступило ещё в 2021 году при формировании своей стратегии. Были проведены глубинные интервью с гражданами, бизнесом, профессиональными участниками рынка, в результате которых удалось выявить и проанализировать более </w:t>
      </w:r>
      <w:r>
        <w:rPr>
          <w:b w:val="0"/>
          <w:bCs w:val="0"/>
          <w:color w:val="292c2f"/>
        </w:rPr>
        <w:t xml:space="preserve">400 «болевых точек». В том числе неудовлетворённость качеством услуг, непонятный, сложный, неудобный процесс их получения, длительные сроки, необоснованные приостановления и т.д. Комплексная работа над проблемами позволила их консолидировать, провести реин</w:t>
      </w:r>
      <w:r>
        <w:rPr>
          <w:b w:val="0"/>
          <w:bCs w:val="0"/>
          <w:color w:val="292c2f"/>
        </w:rPr>
        <w:t xml:space="preserve">жиниринг всех внутренних процессов и приступить к созданию новых цифровых сервисов и продуктов, ориентированных на человека.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 2022 году была разработана дорожная карта по внедрению принципов клиентоцентричности в Росреестре на 2023-2024 гг. Также ведомство вошло в состав рабочих групп федерального уровня по реализации жизненных ситуаций, направленных на упрощение предоставлени</w:t>
      </w:r>
      <w:r>
        <w:rPr>
          <w:b w:val="0"/>
          <w:bCs w:val="0"/>
          <w:color w:val="292c2f"/>
        </w:rPr>
        <w:t xml:space="preserve">я государственных услуг. В настоящее время совместно с другими федеральными органами власти мы принимаем участие в реализации более 20 жизненный ситуаций. Результатом такой работы стало создание на Портале госуслуг каталога </w:t>
      </w:r>
      <w:hyperlink r:id="rId146" w:tooltip="https://www.gosuslugi.ru/landing/forcitizens" w:history="1">
        <w:r>
          <w:rPr>
            <w:b w:val="0"/>
            <w:bCs w:val="0"/>
            <w:color w:val="292c2f"/>
          </w:rPr>
          <w:t xml:space="preserve">жизненных ситуаций</w:t>
        </w:r>
      </w:hyperlink>
      <w:r>
        <w:rPr>
          <w:b w:val="0"/>
          <w:bCs w:val="0"/>
          <w:color w:val="292c2f"/>
        </w:rPr>
        <w:t xml:space="preserve"> (ЖС), с помощью которого граждане и представители бизнеса по всей стране могут воспользоваться удобными цифровыми услугами и сервисами для решения целого ряда вопросов в разных сферах жизнедеятельности»,</w:t>
      </w:r>
      <w:r>
        <w:rPr>
          <w:b w:val="0"/>
          <w:bCs w:val="0"/>
          <w:color w:val="292c2f"/>
        </w:rPr>
        <w:t xml:space="preserve"> - сказал заместитель руководителя Росреестра </w:t>
      </w:r>
      <w:r>
        <w:rPr>
          <w:b w:val="0"/>
          <w:bCs w:val="0"/>
          <w:color w:val="292c2f"/>
        </w:rPr>
        <w:t xml:space="preserve">Максим Смирнов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 примеру, в разделе «Недвижимость» можно получить чёткие инструкции о том, как провести </w:t>
      </w:r>
      <w:hyperlink r:id="rId147" w:tooltip="https://www.gosuslugi.ru/landing/redevelopment" w:history="1">
        <w:r>
          <w:rPr>
            <w:b w:val="0"/>
            <w:bCs w:val="0"/>
            <w:color w:val="292c2f"/>
          </w:rPr>
          <w:t xml:space="preserve">перепланировку, переустройство или как перевести помещение в нежилое или жилое</w:t>
        </w:r>
      </w:hyperlink>
      <w:r>
        <w:rPr>
          <w:b w:val="0"/>
          <w:bCs w:val="0"/>
          <w:color w:val="292c2f"/>
        </w:rPr>
        <w:t xml:space="preserve">. Здесь рассказывается о каждом этапе предоставления услуг и поясняется, какие правоустанавливающие документы для этого необходимы.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разделе </w:t>
      </w:r>
      <w:hyperlink r:id="rId148" w:tooltip="https://www.gosuslugi.ru/stroika" w:history="1">
        <w:r>
          <w:rPr>
            <w:b w:val="0"/>
            <w:bCs w:val="0"/>
            <w:color w:val="292c2f"/>
          </w:rPr>
          <w:t xml:space="preserve">«Цифровое строительство»</w:t>
        </w:r>
      </w:hyperlink>
      <w:r>
        <w:rPr>
          <w:b w:val="0"/>
          <w:bCs w:val="0"/>
          <w:color w:val="292c2f"/>
        </w:rPr>
        <w:t xml:space="preserve"> можно получить помощь в приобретении земельного участка для возведения жилых, садовых, многоквартирных домов, а также социальных и коммерческих объектов.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Ещё одной реализованной жизненной ситуацией является «Восстановление документов». Росреестр подключи</w:t>
      </w:r>
      <w:r>
        <w:rPr>
          <w:b w:val="0"/>
          <w:bCs w:val="0"/>
          <w:color w:val="292c2f"/>
        </w:rPr>
        <w:t xml:space="preserve">лся к её внедрению в части получения сведений из ЕГРН. Здесь можно заказать </w:t>
      </w:r>
      <w:hyperlink r:id="rId149" w:tooltip="https://www.gosuslugi.ru/online-egrn" w:history="1">
        <w:r>
          <w:rPr>
            <w:b w:val="0"/>
            <w:bCs w:val="0"/>
            <w:color w:val="292c2f"/>
          </w:rPr>
          <w:t xml:space="preserve">бесплатную онлайн‑выписку об объекте недвижимости</w:t>
        </w:r>
      </w:hyperlink>
      <w:r>
        <w:rPr>
          <w:b w:val="0"/>
          <w:bCs w:val="0"/>
          <w:color w:val="292c2f"/>
        </w:rPr>
        <w:t xml:space="preserve">, а также другие выписки из реестра недвижимости.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Среди реализованных проектов с участием Росреестра есть и те, которые </w:t>
      </w:r>
      <w:hyperlink r:id="rId150" w:tooltip="https://www.gosuslugi.ru/landing/forbusiness" w:history="1">
        <w:r>
          <w:rPr>
            <w:b w:val="0"/>
            <w:bCs w:val="0"/>
            <w:color w:val="292c2f"/>
          </w:rPr>
          <w:t xml:space="preserve">помогают предпринимателям</w:t>
        </w:r>
      </w:hyperlink>
      <w:r>
        <w:rPr>
          <w:b w:val="0"/>
          <w:bCs w:val="0"/>
          <w:color w:val="292c2f"/>
        </w:rPr>
        <w:t xml:space="preserve"> развивать свои бизнес-идеи. Например, об открытии туристической компании, частной школы, детского сада, аптеки или производства.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2025 году разработка новых жизненных ситуаций по проекту «Государство для людей» продолжится. Так, в начале февраля предста</w:t>
      </w:r>
      <w:r>
        <w:rPr>
          <w:b w:val="0"/>
          <w:bCs w:val="0"/>
          <w:color w:val="292c2f"/>
        </w:rPr>
        <w:t xml:space="preserve">вители Росреестра и ППК «Роскадастр» приняли участие в совещании и дизайн-сессии АНО «Аналитический центр при Правительстве Российской Федерации». В ходе мероприятия эксперты из разных сфер обсудили концепцию новых жизненных ситуаций федерального уровня и </w:t>
      </w:r>
      <w:r>
        <w:rPr>
          <w:b w:val="0"/>
          <w:bCs w:val="0"/>
          <w:color w:val="292c2f"/>
        </w:rPr>
        <w:t xml:space="preserve">провели их экспертизу. Главными задачами стали оптимизация услуг, сокращение сроков их оказания и количества посещений органов власти. В числе новых жизненных ситуаций, которые находятся в разработке, поддержка соотечественников за рубежом, техобслуживание</w:t>
      </w:r>
      <w:r>
        <w:rPr>
          <w:b w:val="0"/>
          <w:bCs w:val="0"/>
          <w:color w:val="292c2f"/>
        </w:rPr>
        <w:t xml:space="preserve"> газового оборудования, владение самоходной техникой, получение мер поддержки ветеранами и участниками СВО и другие.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5. </w:t>
      </w:r>
      <w:r>
        <w:rPr>
          <w:b/>
          <w:bCs/>
          <w:color w:val="292c2f"/>
        </w:rPr>
        <w:t xml:space="preserve">Госдума приняла в I чтении законопроект о привлечении ППК «Роскадастр» для повышения эффективности землепользования в регионах.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Государственная Дума приняла в первом чтении законопроект Росреестра, наделяющий ППК «Роскадастр» полномочиями по проведению в субъектах РФ работ по наполнению ЕГРН полными и точными сведениями, а также вовлечению в хозяйственный оборот неиспользуемых земе</w:t>
      </w:r>
      <w:r>
        <w:rPr>
          <w:b w:val="0"/>
          <w:bCs w:val="0"/>
          <w:color w:val="292c2f"/>
        </w:rPr>
        <w:t xml:space="preserve">льных участков. На пленарном заседании законопроект представил статс-секретарь - заместитель руководителя Росреестра </w:t>
      </w:r>
      <w:r>
        <w:rPr>
          <w:b w:val="0"/>
          <w:bCs w:val="0"/>
          <w:color w:val="292c2f"/>
        </w:rPr>
        <w:t xml:space="preserve">Алексей Бутовецкий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Изменения предполагается внести в статью 4 Федерального закона «О публично-правовой компании «Роскадастр» и отдельные законодательные акты Российской Федерации».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«Качество сведений ЕГРН существенным образом влияет на экономическую и социальную повестку регионов, обеспечивает защиту прав собственников, способствует реализации инвестиционных и инфраструктурных проектов. Данные необходимы как органам власти, так и биз</w:t>
      </w:r>
      <w:r>
        <w:rPr>
          <w:b w:val="0"/>
          <w:bCs w:val="0"/>
          <w:color w:val="292c2f"/>
        </w:rPr>
        <w:t xml:space="preserve">нес-сообществу. Предлагаемые законопроектом нормы позволят регионам и муниципалитетам привлекать ППК «Роскадастр» для решения задач по определению границ объектов недвижимости, образованию земельных участков, выявлению правообладателей ранее учтённых объек</w:t>
      </w:r>
      <w:r>
        <w:rPr>
          <w:b w:val="0"/>
          <w:bCs w:val="0"/>
          <w:color w:val="292c2f"/>
        </w:rPr>
        <w:t xml:space="preserve">тов, исправлению реестровых ошибок. Это положительно повлияет на экономический рост субъектов РФ за счёт пространственного развития территорий, выявления и вовлечения в хозяйственный оборот неиспользуемых земель»,</w:t>
      </w:r>
      <w:r>
        <w:rPr>
          <w:b w:val="0"/>
          <w:bCs w:val="0"/>
          <w:color w:val="292c2f"/>
        </w:rPr>
        <w:t xml:space="preserve"> - сказал </w:t>
      </w:r>
      <w:r>
        <w:rPr>
          <w:b w:val="0"/>
          <w:bCs w:val="0"/>
          <w:color w:val="292c2f"/>
        </w:rPr>
        <w:t xml:space="preserve">Алексей Бутовецкий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ППК «Роскадастр» является оператором ФГИС ЕГРН и ФГИС «Единая цифровая платформа «Национальная система пространственных данных» (НСПД). Сегодня компания обеспечивает устойчивое развитие и модернизацию геодезической, картографической и кадастровой деятел</w:t>
      </w:r>
      <w:r>
        <w:rPr>
          <w:b w:val="0"/>
          <w:bCs w:val="0"/>
          <w:color w:val="292c2f"/>
        </w:rPr>
        <w:t xml:space="preserve">ьности, разработку и сопровождение информационных систем, пространственных данных, сервисов и услуг.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Изменения, предлагаемые Правительством РФ, позволят ускорить в регионах работу по наполнению ЕГРН сведениями о пространственных данных объектов недвижимос</w:t>
      </w:r>
      <w:r>
        <w:rPr>
          <w:b w:val="0"/>
          <w:bCs w:val="0"/>
          <w:color w:val="292c2f"/>
        </w:rPr>
        <w:t xml:space="preserve">ти. Согласно госпрограмме «НСПД», к 2030 году этот показатель должен составить 95%. Также это поможет сократить сроки предоставления земельных участков и определить территории, нуждающиеся в комплексном развитии.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Помимо прочего, это будет способствовать у</w:t>
      </w:r>
      <w:r>
        <w:rPr>
          <w:b w:val="0"/>
          <w:bCs w:val="0"/>
          <w:color w:val="292c2f"/>
        </w:rPr>
        <w:t xml:space="preserve">величению поступления доходов в бюджетную систему Российской Федерации в виде имущественных налогов и сборов, а также денежных средств от продажи земельных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Проводить соответствующие работы и оказывать услуги ППК «Роскадастр» сможет на основании </w:t>
      </w:r>
      <w:r>
        <w:rPr>
          <w:b w:val="0"/>
          <w:bCs w:val="0"/>
          <w:color w:val="292c2f"/>
        </w:rPr>
        <w:t xml:space="preserve">соглашений с органами власти регионов или с муниципалитетами. Соглашения будут заключаться, исходя из конкретной потребности субъекта Российской Федерации или муниц</w:t>
      </w:r>
      <w:r>
        <w:rPr>
          <w:b w:val="0"/>
          <w:bCs w:val="0"/>
          <w:color w:val="292c2f"/>
        </w:rPr>
        <w:t xml:space="preserve">ипального образования в выполнении тех или иных работ.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6. </w:t>
      </w:r>
      <w:r>
        <w:rPr>
          <w:b/>
          <w:bCs/>
          <w:color w:val="292c2f"/>
        </w:rPr>
        <w:t xml:space="preserve">По программе «Сельская ипотека» за 5 лет зарегистрировано почти 100 тыс. ипотек.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подвёл промежуточные итоги реализации программы «Сельская ипотека». С начала её действия (январь 2020 года) по 1 марта 2025 года ведомством зарегистрировано 99 410 ипотек.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Наибольшее количество регистрационных действий в рамках программы приходи</w:t>
      </w:r>
      <w:r>
        <w:rPr>
          <w:b w:val="0"/>
          <w:bCs w:val="0"/>
          <w:color w:val="292c2f"/>
        </w:rPr>
        <w:t xml:space="preserve">тся на договоры купли-продажи, на основании которых зарегистрировано 86 552 права собственности.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Ранее Председатель Правительства РФ </w:t>
      </w:r>
      <w:r>
        <w:rPr>
          <w:b w:val="0"/>
          <w:bCs w:val="0"/>
          <w:color w:val="292c2f"/>
        </w:rPr>
        <w:t xml:space="preserve">Михаил Мишустин</w:t>
      </w:r>
      <w:r>
        <w:rPr>
          <w:b w:val="0"/>
          <w:bCs w:val="0"/>
          <w:color w:val="292c2f"/>
        </w:rPr>
        <w:t xml:space="preserve"> заявил о важности развития сельских территорий и подписал распоряжение о поддержании льготной ипотеки в сельской местности и льготных кредитов на благоустройство домов. На эти цели выделено 6,8 млрд руб.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«За 5 лет льготные ипотечные программы показали свою востребованность жителями России, стали эффективным инструментом улучшения жилищных условий. По поручению руководства страны Росреестром обеспечены все необходимые условия, чтобы граждане нашей страны мо</w:t>
      </w:r>
      <w:r>
        <w:rPr>
          <w:b w:val="0"/>
          <w:bCs w:val="0"/>
          <w:color w:val="292c2f"/>
        </w:rPr>
        <w:t xml:space="preserve">гли быстро и без проволочек оформить жильё, приобретённое по программе, – будь то квартира или индивидуальный жилой дом. В рамках слаженного взаимодействия с кредитными организациями и застройщиками сделки по электронной ипотеке сегодня регистрируются в ср</w:t>
      </w:r>
      <w:r>
        <w:rPr>
          <w:b w:val="0"/>
          <w:bCs w:val="0"/>
          <w:color w:val="292c2f"/>
        </w:rPr>
        <w:t xml:space="preserve">еднем за 12 часов. Востребованность ипотечных программ в целом повлияла на рост электронных услуг ведомства. Доля электронной ипотеки с 2020 года увеличилась в 9,4 раза – до 84,3%»,</w:t>
      </w:r>
      <w:r>
        <w:rPr>
          <w:b w:val="0"/>
          <w:bCs w:val="0"/>
          <w:color w:val="292c2f"/>
        </w:rPr>
        <w:t xml:space="preserve"> - сказала заместитель руководителя Росреестра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Наиболее востребованной программа остаётся в Приволжском (34 527 ипотек) и Центральном федеральных округах (17 086). Здесь лидерство сохраняют Республика Башкортостан (5 833), Удмуртская республика (4 786), Республика Татарстан (4 505). В ЦФО лучшие пок</w:t>
      </w:r>
      <w:r>
        <w:rPr>
          <w:b w:val="0"/>
          <w:bCs w:val="0"/>
          <w:color w:val="292c2f"/>
        </w:rPr>
        <w:t xml:space="preserve">азатели у Курской и Липецкой областей (по 1 765 ипотек), Белгородской (1 732) и Воронежской областей (1 623).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Сибирском федеральном округе (16 228) по-прежнему с большим отрывом лидирует Омская область (4 556). Далее идут Новосибирская и Иркутская облас</w:t>
      </w:r>
      <w:r>
        <w:rPr>
          <w:b w:val="0"/>
          <w:bCs w:val="0"/>
          <w:color w:val="292c2f"/>
        </w:rPr>
        <w:t xml:space="preserve">ти с показателями 2 559 и 2 499 ипотеки. В Южном федеральном округе (7 954) наилучшие результаты у Ростовской области (2 387) и Краснодарского края (2 224).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Северо-Западном федеральном округе (6 914) в лидерах остаются Ленинградская (2 319) и Калинингра</w:t>
      </w:r>
      <w:r>
        <w:rPr>
          <w:b w:val="0"/>
          <w:bCs w:val="0"/>
          <w:color w:val="292c2f"/>
        </w:rPr>
        <w:t xml:space="preserve">дская (1 902) области. На Урале (6 486) также с большим отрывом идут Свердловская (2 111) и Тюменская (1 933)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Северо-Кавказском Федеральном округе (6 463) безусловным лидером остается Ставропольский край (4 065). На Дальнем Востоке (3 752) перв</w:t>
      </w:r>
      <w:r>
        <w:rPr>
          <w:b w:val="0"/>
          <w:bCs w:val="0"/>
          <w:color w:val="292c2f"/>
        </w:rPr>
        <w:t xml:space="preserve">енство сохраняет Республика Бурятия (1 408).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7. </w:t>
      </w:r>
      <w:r>
        <w:rPr>
          <w:b/>
          <w:bCs/>
          <w:color w:val="292c2f"/>
        </w:rPr>
        <w:t xml:space="preserve">С 2025 года граждане и юрлица могут зарегистрировать недвижимость в ускоренном порядке.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расширяет возможности при оказании государственных услуг для граждан и юридических лиц. Теперь осуществить регистрационные действия можно в ускоренном порядке – за один рабочий день вместо срока, предусмотренного действующим законом.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Услуга стал</w:t>
      </w:r>
      <w:r>
        <w:rPr>
          <w:b w:val="0"/>
          <w:bCs w:val="0"/>
          <w:color w:val="292c2f"/>
        </w:rPr>
        <w:t xml:space="preserve">а доступна с 2025 года на основании вступивших с 1 января 2025 г. поправок, внесенных </w:t>
      </w:r>
      <w:hyperlink r:id="rId151" w:tooltip="http://publication.pravo.gov.ru/document/0001202407220023?ysclid=m98dratup3180622058" w:history="1">
        <w:r>
          <w:rPr>
            <w:b w:val="0"/>
            <w:bCs w:val="0"/>
            <w:color w:val="292c2f"/>
          </w:rPr>
          <w:t xml:space="preserve">Федеральным законом № 207-ФЗ</w:t>
        </w:r>
      </w:hyperlink>
      <w:r>
        <w:rPr>
          <w:b w:val="0"/>
          <w:bCs w:val="0"/>
          <w:color w:val="292c2f"/>
        </w:rPr>
        <w:t xml:space="preserve"> от 22.07.2024 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Ускоренная процедура доступна при регистрации: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left="0" w:right="0" w:firstLine="709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ипотеки на основании соответствующего договора;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left="0" w:right="0" w:firstLine="709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прав на квартиру на основании договора купли-продажи (кроме случаев продажи с публичных торгов).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Новая услуга будет особенно актуальна для граждан, которые хотят зарегистрировать недвижимость в гарантированно сжатые сроки и заинтересованы в более оперативном оформлении сделки. Регистрационные действия будут проведены за один рабочий день, следующий за</w:t>
      </w:r>
      <w:r>
        <w:rPr>
          <w:b w:val="0"/>
          <w:bCs w:val="0"/>
          <w:color w:val="292c2f"/>
        </w:rPr>
        <w:t xml:space="preserve"> днем подачи заявления.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 данную процедуру взимается повышенная пошлина (статья 333.33 Налогового кодекса РФ), при этом опция предоставляется исключительно по инициативе заявителя. Чтобы ей воспользоваться, в заявлении об осуществлении государственного кадастрового учета и (или)</w:t>
      </w:r>
      <w:r>
        <w:rPr>
          <w:b w:val="0"/>
          <w:bCs w:val="0"/>
          <w:color w:val="292c2f"/>
        </w:rPr>
        <w:t xml:space="preserve"> государственной регистрации прав необходимо поставить соответствующую отметку о предоставлении услуги в срок не более одного рабочего дня.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Ускоренная регистрация возможна как при подаче документов в МФЦ, так и онлайн в личном кабинете на сайте Росреестра.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настоящее время общие сроки осуществления регистрационных действий составляют 7 рабочих дней. При подаче документов через МФЦ указанные сроки увеличиваются на 2 рабочих дня.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Оказание услуги в ускоренном порядке не скажется на сроках оказания услуг, предоставляемых в обычном порядке.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8.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На Межведомственной рабочей группе Росреестра представили статус внедрения НСПД при предоставлении госуслуг.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Росреестре состоялось 9-ое заседание подгруппы межведомственной рабочей группы по координации мероприятий, направленных на развитие и обеспечение функционирования НСПД, реализуемых исполнительными органами государственной власти субъектов Российской Феде</w:t>
      </w:r>
      <w:r>
        <w:rPr>
          <w:b w:val="0"/>
          <w:bCs w:val="0"/>
          <w:color w:val="292c2f"/>
        </w:rPr>
        <w:t xml:space="preserve">рации и органами местного самоуправления, под председательством заместителя руководителя ведомства </w:t>
      </w:r>
      <w:r>
        <w:rPr>
          <w:b w:val="0"/>
          <w:bCs w:val="0"/>
          <w:color w:val="292c2f"/>
        </w:rPr>
        <w:t xml:space="preserve">Максима Смирнова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Основной темой заседания стали изменения в законодательство подготовленные Росреестром в целях использования ФГИС «Единая цифровая платформа «Национальная система пространственных данных» (ЕЦП НСПД) при предоставлении государственных и муниципальных усл</w:t>
      </w:r>
      <w:r>
        <w:rPr>
          <w:b w:val="0"/>
          <w:bCs w:val="0"/>
          <w:color w:val="292c2f"/>
        </w:rPr>
        <w:t xml:space="preserve">уг.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января 2025 года вступил в силу Федеральный закон № 317-ФЗ, предусматривающий использование ФГИС НСПД органами публичной власти в ходе предоставления государственных и муниципальных услуг.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 целях реализации закона планируется внести изменения в Постановление Правительства РФ от 07.06.2022 № 1040, которыми будет установлен перечень государственных услуг, для предоставления которых используются пространственные данные, содержащиеся в ФГИС ЕЦ</w:t>
      </w:r>
      <w:r>
        <w:rPr>
          <w:b w:val="0"/>
          <w:bCs w:val="0"/>
          <w:color w:val="292c2f"/>
        </w:rPr>
        <w:t xml:space="preserve">П НСПД. Это позволит сократить сроки оказания государственных и муниципальных услуг в сфере земли, недвижимости и оборота пространственных данных, снизить количество приостановлений и ошибок со стороны уполномоченных органов в рамках строительного цикла, а</w:t>
      </w:r>
      <w:r>
        <w:rPr>
          <w:b w:val="0"/>
          <w:bCs w:val="0"/>
          <w:color w:val="292c2f"/>
        </w:rPr>
        <w:t xml:space="preserve"> также обеспечит новые возможности для граждан и бизнеса по поиску и предоставлению земельных участков в удобном формате «единого окна»»,</w:t>
      </w:r>
      <w:r>
        <w:rPr>
          <w:b w:val="0"/>
          <w:bCs w:val="0"/>
          <w:color w:val="292c2f"/>
        </w:rPr>
        <w:t xml:space="preserve"> – отметил </w:t>
      </w:r>
      <w:r>
        <w:rPr>
          <w:b w:val="0"/>
          <w:bCs w:val="0"/>
          <w:color w:val="292c2f"/>
        </w:rPr>
        <w:t xml:space="preserve">Максим Смирнов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частности, изменениями Постановления 1040, планируется определить порядок использования ФГИС ЕЦП НСПД при оказании государственных и муниципальных услуг, а также закрепить перечень из 64 таких услуг в сфере земли и недвижимости, которые будут предоста</w:t>
      </w:r>
      <w:r>
        <w:rPr>
          <w:b w:val="0"/>
          <w:bCs w:val="0"/>
          <w:color w:val="292c2f"/>
        </w:rPr>
        <w:t xml:space="preserve">вляться с использованием сервисов и других возможностей и данных платформы НСПД.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«НСПД — это беспрецедентный как с организационной, так и с технологической стороны проект, реализованный на полностью отечественных импортозамещённых геоинформационных технологиях. С момента запуска портала в 2023 году его посетили более 3,3 млн человек, а</w:t>
      </w:r>
      <w:r>
        <w:rPr>
          <w:b w:val="0"/>
          <w:bCs w:val="0"/>
          <w:color w:val="292c2f"/>
        </w:rPr>
        <w:t xml:space="preserve"> количество просмотров превысило 49 млн. И эта динамика уверенно растёт. Наибольшую популярность приобрели такие сервисы, как публичная кадастровая карта (7,9 млн обращений), «Земля просто» (613 тыс. обращений), «Фонд данных ГКО» (395 тыс. обращений), «Гра</w:t>
      </w:r>
      <w:r>
        <w:rPr>
          <w:b w:val="0"/>
          <w:bCs w:val="0"/>
          <w:color w:val="292c2f"/>
        </w:rPr>
        <w:t xml:space="preserve">достроительная проработка онлайн» (297 тыс. обращений) и «Мои объекты недвижимости» (69 тыс. обращений)»,</w:t>
      </w:r>
      <w:r>
        <w:rPr>
          <w:b w:val="0"/>
          <w:bCs w:val="0"/>
          <w:color w:val="292c2f"/>
        </w:rPr>
        <w:t xml:space="preserve"> – сказал начальник Управления стратегического развития и цифровой трансформации Росреестра </w:t>
      </w:r>
      <w:r>
        <w:rPr>
          <w:b w:val="0"/>
          <w:bCs w:val="0"/>
          <w:color w:val="292c2f"/>
        </w:rPr>
        <w:t xml:space="preserve">Сергей Белокопытов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Участниками заседания межведомственной рабочей группы стали порядка 540 человек, включая представителей центрального аппарата и территориальных органов Росреестра, правительств субъектов Российской Федерации, ППК «Роскадастр» и его филиала ЦИТ «Роскадас</w:t>
      </w:r>
      <w:r>
        <w:rPr>
          <w:b w:val="0"/>
          <w:bCs w:val="0"/>
          <w:color w:val="292c2f"/>
        </w:rPr>
        <w:t xml:space="preserve">тр-Инфотех».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ходе встречи также были рассмотрены основные этапы внедрения ФГИС ЕЦП НСПД. Это анализ готовности региональных систем к интеграции, заключение соглашений об информационном взаимодействии.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 сегодняшний день утверждены три очереди внедрени</w:t>
      </w:r>
      <w:r>
        <w:rPr>
          <w:b w:val="0"/>
          <w:bCs w:val="0"/>
          <w:color w:val="292c2f"/>
        </w:rPr>
        <w:t xml:space="preserve">я платформы. Первая очередь охватила 31 регион, где успешно завершилась передача данных в Единую цифровую платформу из региональных информационных систем. В настоящий момент в системе содержится более 2 тысяч слоев данных.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второй очереди 22 регио</w:t>
      </w:r>
      <w:r>
        <w:rPr>
          <w:b w:val="0"/>
          <w:bCs w:val="0"/>
          <w:color w:val="292c2f"/>
        </w:rPr>
        <w:t xml:space="preserve">на завершили комплекс организационно-административных мероприятий, направленных на интеграцию региональных информационных систем с ЕЦП НСПД. Работа с регионами третьей очереди, куда вошли Республика Коми, Красноярский и Ставропольский края, Ненецкий и Ямал</w:t>
      </w:r>
      <w:r>
        <w:rPr>
          <w:b w:val="0"/>
          <w:bCs w:val="0"/>
          <w:color w:val="292c2f"/>
        </w:rPr>
        <w:t xml:space="preserve">о-Ненецкий автономные округа, а также Архангельская, Костромская, Ярославская, Кировская и Владимирская области, находится в активной фазе.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Отдельное внимание на встрече было уделено планам по развитию ФГИС ЕЦП НСПД в текущем году.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Так в рамках третьей ф</w:t>
      </w:r>
      <w:r>
        <w:rPr>
          <w:b w:val="0"/>
          <w:bCs w:val="0"/>
          <w:color w:val="292c2f"/>
        </w:rPr>
        <w:t xml:space="preserve">ункциональной очереди ФГИС ЕЦП НСПД, своё развитие получат пять информационных подсистем и четыре цифровых сервиса, ещё 6 сервисов будут созданы дополнительно. Среди них: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«Аналитика рынка недвижимости», которая станет эффективным инструментом для анализа и прогнозирования ситуации на рынке недвижимости. На базе сервиса будет представлена система показателей, отражающих изменения на рынке недвижимости и полученных по результ</w:t>
      </w:r>
      <w:r>
        <w:rPr>
          <w:b w:val="0"/>
          <w:bCs w:val="0"/>
          <w:color w:val="292c2f"/>
        </w:rPr>
        <w:t xml:space="preserve">атам анализа данных о сделках с объектами недвижимости, сведения о которых содержатся в ЕГРН.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left="0" w:firstLine="0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«Комплексные кадастровые работы (ККР)» сервис, на базе которого сформируется рейтинг кадастровых кварталов для определения приоритетных территорий их проведения. Любой пользователь сможет воспользоваться функцией автоматической проверки карты-плана террито</w:t>
      </w:r>
      <w:r>
        <w:rPr>
          <w:b w:val="0"/>
          <w:bCs w:val="0"/>
          <w:color w:val="292c2f"/>
        </w:rPr>
        <w:t xml:space="preserve">рии, что упростит процесс подготовки и согласования документов.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«На данный момент отсутствует единый сервис, который объединяет данные о динамике цен на квартиры на основе ЕГРН. С внедрением ЕЦП НСПД такая возможность появится, что обеспечит профессиональным участникам рынка недвижимости и органам власти достоверные ин</w:t>
      </w:r>
      <w:r>
        <w:rPr>
          <w:b w:val="0"/>
          <w:bCs w:val="0"/>
          <w:color w:val="292c2f"/>
        </w:rPr>
        <w:t xml:space="preserve">струменты для оценки текущей ситуации и прогнозирования будущих изменений. Платформа позволит собирать и анализировать данные о динамике цен на квартиры на вторичном рынке для каждого субъекта РФ, выявлять тенденции роста или снижения цен, строить графики </w:t>
      </w:r>
      <w:r>
        <w:rPr>
          <w:b w:val="0"/>
          <w:bCs w:val="0"/>
          <w:color w:val="292c2f"/>
        </w:rPr>
        <w:t xml:space="preserve">и формировать тепловые карты»,</w:t>
      </w:r>
      <w:r>
        <w:rPr>
          <w:b w:val="0"/>
          <w:bCs w:val="0"/>
          <w:color w:val="292c2f"/>
        </w:rPr>
        <w:t xml:space="preserve"> – прокомментировал начальник Управления координации создания и обеспечения функционирования ФГИС ЕЦП НСПД филиала ППК «Роскадастр» ЦИТ «Роскадастр-Инфотех» </w:t>
      </w:r>
      <w:r>
        <w:rPr>
          <w:b w:val="0"/>
          <w:bCs w:val="0"/>
          <w:color w:val="292c2f"/>
        </w:rPr>
        <w:t xml:space="preserve">Василий Баландин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итогам заседания подготовлены предложения в протокол Межведомственной рабочей группы, в том числе правительствам субъектов рекомендовано рассмотреть распределение оставшихся 26 регионов между четвертой и пятой очередями внедрения ФГИС ЕЦП НСПД на пер</w:t>
      </w:r>
      <w:r>
        <w:rPr>
          <w:b w:val="0"/>
          <w:bCs w:val="0"/>
          <w:color w:val="292c2f"/>
        </w:rPr>
        <w:t xml:space="preserve">иоды 2026 – 2027 гг. и 2027 – 2028 гг для его дальнейшего утверждения на очередном заседании межведомственной рабочей группы под председательством </w:t>
      </w:r>
      <w:r>
        <w:rPr>
          <w:b/>
          <w:bCs/>
          <w:color w:val="292c2f"/>
        </w:rPr>
        <w:t xml:space="preserve">руководителя Росреестра Скуфинского О.А.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9. </w:t>
      </w:r>
      <w:r>
        <w:rPr>
          <w:b/>
          <w:bCs/>
          <w:color w:val="292c2f"/>
        </w:rPr>
        <w:t xml:space="preserve">В преддверии 80-летия Победы Росреестр напоминает о льготном оказании услуг участникам СВО и ветеранам войны.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преддверии 80-летней годовщины Победы в Великой Отечественной войне Росреестр напоминает о льготном оказании ряда услуг для участников специальной военной операции (СВО) и ветеранов войны.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Согласно приказу Росреестра от 28.10.2024 № П/0335/24, для ветер</w:t>
      </w:r>
      <w:r>
        <w:rPr>
          <w:b w:val="0"/>
          <w:bCs w:val="0"/>
          <w:color w:val="292c2f"/>
        </w:rPr>
        <w:t xml:space="preserve">анов боевых действий, к которым в том числе относятся участники СВО, с 1 января 2025 года предусмотрена </w:t>
      </w:r>
      <w:r>
        <w:rPr>
          <w:b w:val="0"/>
          <w:bCs w:val="0"/>
          <w:color w:val="292c2f"/>
        </w:rPr>
        <w:t xml:space="preserve">льгота в размере 50% при оплате за предоставление сведений, содержащихся в ЕГРН</w:t>
      </w:r>
      <w:r>
        <w:rPr>
          <w:b w:val="0"/>
          <w:bCs w:val="0"/>
          <w:color w:val="292c2f"/>
        </w:rPr>
        <w:t xml:space="preserve">. Получить сведения из ЕГРН можно на </w:t>
      </w:r>
      <w:hyperlink r:id="rId152" w:tooltip="https://www.gosuslugi.ru/help/faq/egrn/101728" w:history="1">
        <w:r>
          <w:rPr>
            <w:b w:val="0"/>
            <w:bCs w:val="0"/>
            <w:color w:val="292c2f"/>
          </w:rPr>
          <w:t xml:space="preserve">портале Госуслуг</w:t>
        </w:r>
      </w:hyperlink>
      <w:r>
        <w:rPr>
          <w:b w:val="0"/>
          <w:bCs w:val="0"/>
          <w:color w:val="292c2f"/>
        </w:rPr>
        <w:t xml:space="preserve"> или посредством обращения в МФЦ.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Также участникам СВО и членам их семей полагается </w:t>
      </w:r>
      <w:r>
        <w:rPr>
          <w:b w:val="0"/>
          <w:bCs w:val="0"/>
          <w:color w:val="292c2f"/>
        </w:rPr>
        <w:t xml:space="preserve">скидка при проведении кадастровых работ в рамках социальной догазификации СНТ</w:t>
      </w:r>
      <w:r>
        <w:rPr>
          <w:b w:val="0"/>
          <w:bCs w:val="0"/>
          <w:color w:val="292c2f"/>
        </w:rPr>
        <w:t xml:space="preserve">. В ходе данной программы осуществляется строительство газораспределительной сети до границ садовых земельных участков, на которых расположены жилые дома. Если для участия в программе понадобятся кадастровые работы, участники СВО могут их заказать на </w:t>
      </w:r>
      <w:hyperlink r:id="rId153" w:tooltip="https://kadastr.ru/services/sotsialnaya-gazifikatsiya-snt/" w:history="1">
        <w:r>
          <w:rPr>
            <w:b w:val="0"/>
            <w:bCs w:val="0"/>
            <w:color w:val="292c2f"/>
          </w:rPr>
          <w:t xml:space="preserve">сайте ППК «Роскадастр»</w:t>
        </w:r>
      </w:hyperlink>
      <w:r>
        <w:rPr>
          <w:b w:val="0"/>
          <w:bCs w:val="0"/>
          <w:color w:val="292c2f"/>
        </w:rPr>
        <w:t xml:space="preserve">. С его помощью все процедуры, связанные с регистрацией прав, можно выполнить «под ключ» - вызвать проверенного кадастрового инженера, подготовить необходимые документы и подать заявление о регистрации прав.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1 марта 2025 года вступил в силу </w:t>
      </w:r>
      <w:hyperlink r:id="rId154" w:tooltip="http://publication.pravo.gov.ru/document/0001202502270026" w:history="1">
        <w:r>
          <w:rPr>
            <w:b w:val="0"/>
            <w:bCs w:val="0"/>
            <w:color w:val="292c2f"/>
          </w:rPr>
          <w:t xml:space="preserve">Федеральный закон № 10-ФЗ</w:t>
        </w:r>
      </w:hyperlink>
      <w:r>
        <w:rPr>
          <w:b w:val="0"/>
          <w:bCs w:val="0"/>
          <w:color w:val="292c2f"/>
        </w:rPr>
        <w:t xml:space="preserve"> (от 27.02.2025), также предоставляющий льготы при получении услуг Росреестра для лиц, пострадавших в результате боевых действий (в том числе участников СВО). </w:t>
      </w:r>
      <w:r>
        <w:rPr>
          <w:b w:val="0"/>
          <w:bCs w:val="0"/>
          <w:color w:val="292c2f"/>
        </w:rPr>
        <w:t xml:space="preserve">Учётно-регистрационные действия для них не будут приостанавливаться, если в Единый государственный реестр недвижимости (ЕГРН) не внесены границы земельного участка</w:t>
      </w:r>
      <w:r>
        <w:rPr>
          <w:b w:val="0"/>
          <w:bCs w:val="0"/>
          <w:color w:val="292c2f"/>
        </w:rPr>
        <w:t xml:space="preserve">, являющегося предметом договора, либо земельного участка, на котором расположено являющееся предметом договора здание (сооружение). Также для данной категории лиц </w:t>
      </w:r>
      <w:r>
        <w:rPr>
          <w:b w:val="0"/>
          <w:bCs w:val="0"/>
          <w:color w:val="292c2f"/>
        </w:rPr>
        <w:t xml:space="preserve">внесение в ЕГРН сведений о ранее учтённых</w:t>
      </w:r>
      <w:r>
        <w:rPr>
          <w:b w:val="0"/>
          <w:bCs w:val="0"/>
          <w:color w:val="292c2f"/>
        </w:rPr>
        <w:t xml:space="preserve"> земельных участках и объектах недвижимости и регистрация прав на них возможны без представления межевого и технического планов.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Заявления о государственном кадастровом учёте и (или) регистрации прав в отношении объектов недвижимости, принадлежащих участн</w:t>
      </w:r>
      <w:r>
        <w:rPr>
          <w:b w:val="0"/>
          <w:bCs w:val="0"/>
          <w:color w:val="292c2f"/>
        </w:rPr>
        <w:t xml:space="preserve">икам СВО и членам их семей, </w:t>
      </w:r>
      <w:r>
        <w:rPr>
          <w:b w:val="0"/>
          <w:bCs w:val="0"/>
          <w:color w:val="292c2f"/>
        </w:rPr>
        <w:t xml:space="preserve">рассматриваются Росреестром в приоритетном порядке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22 апреля 2024 года физические лица </w:t>
      </w:r>
      <w:r>
        <w:rPr>
          <w:b w:val="0"/>
          <w:bCs w:val="0"/>
          <w:color w:val="292c2f"/>
        </w:rPr>
        <w:t xml:space="preserve">при наследовании</w:t>
      </w:r>
      <w:r>
        <w:rPr>
          <w:b w:val="0"/>
          <w:bCs w:val="0"/>
          <w:color w:val="292c2f"/>
        </w:rPr>
        <w:t xml:space="preserve"> недвижимого имущества погибших участников СВО </w:t>
      </w:r>
      <w:r>
        <w:rPr>
          <w:b w:val="0"/>
          <w:bCs w:val="0"/>
          <w:color w:val="292c2f"/>
        </w:rPr>
        <w:t xml:space="preserve">освобождены от уплаты государственной пошлины</w:t>
      </w:r>
      <w:r>
        <w:rPr>
          <w:b w:val="0"/>
          <w:bCs w:val="0"/>
          <w:color w:val="292c2f"/>
        </w:rPr>
        <w:t xml:space="preserve"> за регистрацию права собственности. Это следует из вступившего в силу Федерального закона № 88-ФЗ «О внесении изменений в статьи 333.35 и 333.38 части второй Налогового кодекса Российской Федерации».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Право на льготу подтверждается соответствующими докуме</w:t>
      </w:r>
      <w:r>
        <w:rPr>
          <w:b w:val="0"/>
          <w:bCs w:val="0"/>
          <w:color w:val="292c2f"/>
        </w:rPr>
        <w:t xml:space="preserve">нтами. Например, удостоверением ветерана боевых действий (Постановление Правительства РФ от 19.12.2003 № 763), которое оформляется на бланке и в виде пластиковой идентификационной карты.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Кроме того, </w:t>
      </w:r>
      <w:r>
        <w:rPr>
          <w:b w:val="0"/>
          <w:bCs w:val="0"/>
          <w:color w:val="292c2f"/>
        </w:rPr>
        <w:t xml:space="preserve">Национальной палатой кадастровых инженеров создан Всероссийский волонтёрский проект «Вместе с героями»</w:t>
      </w:r>
      <w:r>
        <w:rPr>
          <w:b w:val="0"/>
          <w:bCs w:val="0"/>
          <w:color w:val="292c2f"/>
        </w:rPr>
        <w:t xml:space="preserve">, который направлен на помощь и поддержку участников специальной военной операции и их семей. В рамках мероприятия у них есть возможность бесплатно заказать кадастровые работы (технические или межевые планы) по бытовой недвижимости, получить консультационн</w:t>
      </w:r>
      <w:r>
        <w:rPr>
          <w:b w:val="0"/>
          <w:bCs w:val="0"/>
          <w:color w:val="292c2f"/>
        </w:rPr>
        <w:t xml:space="preserve">о-правовую помощь и иные услуги в сфере недвижимости. Со списком волонтеров можно ознакомиться по </w:t>
      </w:r>
      <w:hyperlink r:id="rId155" w:tooltip="https://ki-rf.ru/wp-content/uploads/2025/04/%D1%81%D0%BF%D0%B8%D1%81%D0%BE%D0%BA-%D0%B2%D0%BE%D0%BB%D0%BE%D0%BD%D1%82%D0%B5%D1%80%D0%BE%D0%B2.pdf" w:history="1">
        <w:r>
          <w:rPr>
            <w:b w:val="0"/>
            <w:bCs w:val="0"/>
            <w:color w:val="292c2f"/>
          </w:rPr>
          <w:t xml:space="preserve">ссылке</w:t>
        </w:r>
      </w:hyperlink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 </w:t>
      </w:r>
      <w:r>
        <w:rPr>
          <w:b w:val="0"/>
          <w:bCs w:val="0"/>
          <w:color w:val="292c2f"/>
        </w:rPr>
        <w:t xml:space="preserve">ветеранов Великой Отечественной войны</w:t>
      </w:r>
      <w:r>
        <w:rPr>
          <w:b w:val="0"/>
          <w:bCs w:val="0"/>
          <w:color w:val="292c2f"/>
        </w:rPr>
        <w:t xml:space="preserve"> постановка на кадастровый учёт и государственная регистрация прав на объекты недвижимости проводится </w:t>
      </w:r>
      <w:r>
        <w:rPr>
          <w:b w:val="0"/>
          <w:bCs w:val="0"/>
          <w:color w:val="292c2f"/>
        </w:rPr>
        <w:t xml:space="preserve">в течение одного рабочего дня</w:t>
      </w:r>
      <w:r>
        <w:rPr>
          <w:b w:val="0"/>
          <w:bCs w:val="0"/>
          <w:color w:val="292c2f"/>
        </w:rPr>
        <w:t xml:space="preserve">, следующего за днем приёма документов. От уплаты госпошлины за регистрацию прав ветераны освобождены.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Также для ветеранов предусмотрена </w:t>
      </w:r>
      <w:hyperlink r:id="rId156" w:tooltip="https://kadastr.ru/services/vyezdnoe-obsluzhivanie/" w:history="1">
        <w:r>
          <w:rPr>
            <w:b w:val="0"/>
            <w:bCs w:val="0"/>
            <w:color w:val="292c2f"/>
          </w:rPr>
          <w:t xml:space="preserve">бесплатная услуга выезда на дом</w:t>
        </w:r>
      </w:hyperlink>
      <w:r>
        <w:rPr>
          <w:b w:val="0"/>
          <w:bCs w:val="0"/>
          <w:color w:val="292c2f"/>
        </w:rPr>
        <w:t xml:space="preserve"> сотрудников ППК «Роскадастр», в ходе которой они могут подать документы на кадастровый учёт или регистрацию прав. По итогам предоставления услуги готовые документы им также бесплатно доставят на дом.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10. </w:t>
      </w:r>
      <w:r>
        <w:rPr>
          <w:b/>
          <w:bCs/>
          <w:color w:val="292c2f"/>
        </w:rPr>
        <w:t xml:space="preserve">С 2020 года Росреестр предоставил 2,6 млн документов из государственного фонда данных землеустройства.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Начиная с 2020 года, Росреестр предоставил из государственного фонда данных, полученных в результате проведения землеустройства (ГФДЗ), 2,58 млн документов по запросам граждан и профессиональных участников рынка недвижимости, из них 258 тыс. – в 2024 году.</w:t>
      </w:r>
      <w:r>
        <w:rPr>
          <w:b w:val="0"/>
          <w:bCs w:val="0"/>
          <w:color w:val="292c2f"/>
        </w:rPr>
        <w:t xml:space="preserve"> Об этом сообщила заместитель руководителя Росреестра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Востребованность документов фонда растёт, поскольку они содержат исходные данные для проведения кадастровых работ, данные специальных обследований, изысканий и сведения, полученные при проведении геодезических, картографических, землеустроительных работ</w:t>
      </w:r>
      <w:r>
        <w:rPr>
          <w:b w:val="0"/>
          <w:bCs w:val="0"/>
          <w:color w:val="292c2f"/>
        </w:rPr>
        <w:t xml:space="preserve">. Также они позволяют подтвердить факт существования земельных участков в определенных границах на момент его предоставления и формирования.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«Уникальная информация госфонда землеустройства пользуется спросом со стороны профессионального сообщества, в том числе кадастровыми инженерами и государственными регистраторами, органами власти, физическими и юридическими лицами. С 2020 года из госфонда в</w:t>
      </w:r>
      <w:r>
        <w:rPr>
          <w:b w:val="0"/>
          <w:bCs w:val="0"/>
          <w:color w:val="292c2f"/>
        </w:rPr>
        <w:t xml:space="preserve">ыдано 2,58 млн документов. Чаще всего заявителей интересовали землеустроительные дела, проекты формирования участков для совершения сделок и регистрации прав, материалы по изучению состояния земель, включая картографические сведения, данные дистанционного </w:t>
      </w:r>
      <w:r>
        <w:rPr>
          <w:b w:val="0"/>
          <w:bCs w:val="0"/>
          <w:color w:val="292c2f"/>
        </w:rPr>
        <w:t xml:space="preserve">зондирования и инвентаризации. Также ведётся активная работа по оцифровке материалов госфонда. С 2021 года, когда она только началась, данный показатель вырос на 65% - до 95% (13,2 млн единиц материалов). До конца 2025 года планируется перевести в электрон</w:t>
      </w:r>
      <w:r>
        <w:rPr>
          <w:b w:val="0"/>
          <w:bCs w:val="0"/>
          <w:color w:val="292c2f"/>
        </w:rPr>
        <w:t xml:space="preserve">ный вид 100% материалов»,</w:t>
      </w:r>
      <w:r>
        <w:rPr>
          <w:b w:val="0"/>
          <w:bCs w:val="0"/>
          <w:color w:val="292c2f"/>
        </w:rPr>
        <w:t xml:space="preserve"> - сказала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её словам, за первые два месяца первого квартала 2025 года физическим лицам из ГФДЗ было выдано более 23 тыс. документов, что в три раза больше, чем по запросам юридических лиц и предпринимателей (6,8 тыс.).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Документы ГФДЗ сегодня можно заказать на </w:t>
      </w:r>
      <w:r>
        <w:rPr>
          <w:b w:val="0"/>
          <w:bCs w:val="0"/>
          <w:color w:val="292c2f"/>
        </w:rPr>
        <w:t xml:space="preserve">Портале госуслуг, воспользовавшись опцией </w:t>
      </w:r>
      <w:hyperlink r:id="rId157" w:tooltip="https://rosreestr.gov.ru/activity/gosudarstvennoe-upravlenie-v-sfere-ispolzovaniya-i-okhrany-zemel/poluchenie-svedeniy-iz-gosudarstvennogo-fonda-dannykh-poluchennykh-v-rezultate-zemleustroystva/" w:history="1">
        <w:r>
          <w:rPr>
            <w:b w:val="0"/>
            <w:bCs w:val="0"/>
            <w:color w:val="292c2f"/>
          </w:rPr>
          <w:t xml:space="preserve">«Получение сведений из государственного фонда данных»</w:t>
        </w:r>
      </w:hyperlink>
      <w:r>
        <w:rPr>
          <w:b w:val="0"/>
          <w:bCs w:val="0"/>
          <w:color w:val="292c2f"/>
        </w:rPr>
        <w:t xml:space="preserve">. Услуга является бесплатной. До 2023 года её оказывали только при личном обращении заинтересованных лиц в территориальные органы Росреестра или при направлении запроса почтой.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Напомним, землеустроительные и межевые дела ГФДЗ используются для анализа мест</w:t>
      </w:r>
      <w:r>
        <w:rPr>
          <w:b w:val="0"/>
          <w:bCs w:val="0"/>
          <w:color w:val="292c2f"/>
        </w:rPr>
        <w:t xml:space="preserve">оположения границ участков, исправления реестровых ошибок и для разрешения земельных споров.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Проекты перераспределения земель сельскохозяйственного назначения, внутрихозяйственного землеустройства организаций, материалы оценки качества земель необходимы д</w:t>
      </w:r>
      <w:r>
        <w:rPr>
          <w:b w:val="0"/>
          <w:bCs w:val="0"/>
          <w:color w:val="292c2f"/>
        </w:rPr>
        <w:t xml:space="preserve">ля корректного определения размеров и границ участков, выделяемых из земель бывших совхозов, колхозов, и для определения земельного баланса территорий. Эти сведения запрашивают граждане, кадастровые инженеры и государственные регистраторы.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Материалы ГФДЗ </w:t>
      </w:r>
      <w:r>
        <w:rPr>
          <w:b w:val="0"/>
          <w:bCs w:val="0"/>
          <w:color w:val="292c2f"/>
        </w:rPr>
        <w:t xml:space="preserve">предоставляют ППК «Роскадастр» и филиалы компании в субъектах Российской Федерации.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11.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В Росреестре обсудили технологию проведения государственной кадастровой оценки с использованием НСПД.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Росреестре состоялось очередное заседание экспертной группы по нормативно-методическому сопровождению государственной кадастровой оценки (ГКО). В мероприятии приняли участие представители центрального аппарата Росреестра, публично-правовой компании «Роск</w:t>
      </w:r>
      <w:r>
        <w:rPr>
          <w:b w:val="0"/>
          <w:bCs w:val="0"/>
          <w:color w:val="292c2f"/>
        </w:rPr>
        <w:t xml:space="preserve">адастр» и её филиала ЦИТ «Роскадастр-Инфотех», бюджетных учреждений, а также профессионального оценочного сообщества.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Открывая заседание, заместитель руководителя Росреестра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 выразила благодарность коллегам из регионов за значительный вклад в организацию и проведение Дней кадастровой оценки в федеральных округах России. Мероприятия, посвящённые 25-летию системы кадастровой оценки в 2024 году, получили высокую оценку, а предста</w:t>
      </w:r>
      <w:r>
        <w:rPr>
          <w:b w:val="0"/>
          <w:bCs w:val="0"/>
          <w:color w:val="292c2f"/>
        </w:rPr>
        <w:t xml:space="preserve">вители органов государственной власти регионов и бюджетных учреждений были удостоены ведомственных наград Росреестра.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Особое внимание было уделено ключевым изменениям законодательства в области ГКО. В частности, в январе 2025 года Государственная Дума при</w:t>
      </w:r>
      <w:r>
        <w:rPr>
          <w:b w:val="0"/>
          <w:bCs w:val="0"/>
          <w:color w:val="292c2f"/>
        </w:rPr>
        <w:t xml:space="preserve">няла в первом чтении законопроект, которым предлагается проводить кадастровую оценку во всех субъектах РФ с использованием ФГИС «Единая цифровая платформа «Национальная система пространственных данных (ФГИС ЕЦП НСПД). Городам федерального значения предоста</w:t>
      </w:r>
      <w:r>
        <w:rPr>
          <w:b w:val="0"/>
          <w:bCs w:val="0"/>
          <w:color w:val="292c2f"/>
        </w:rPr>
        <w:t xml:space="preserve">влена возможность самостоятельно принимать решения о проведении кадастровой оценки с использованием ФГИС ЕЦП НСПД.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 настоящее время государственные бюджетные учреждения в ходе проведения ГКО применяют различные программные решения. С 1 января 2026 года государственная кадастровая оценка во всех субъектах РФ будет проводиться с использованием единого программного обес</w:t>
      </w:r>
      <w:r>
        <w:rPr>
          <w:b w:val="0"/>
          <w:bCs w:val="0"/>
          <w:color w:val="292c2f"/>
        </w:rPr>
        <w:t xml:space="preserve">печения. В этих целях разрабатывается соответствующий функционал ФГИС ЕЦП НСПД. Все участники государственной кадастровой оценки будут взаимодействовать на базе единой централизованной платформы, содержащей пространственные данные, которые могут использова</w:t>
      </w:r>
      <w:r>
        <w:rPr>
          <w:b w:val="0"/>
          <w:bCs w:val="0"/>
          <w:color w:val="292c2f"/>
        </w:rPr>
        <w:t xml:space="preserve">ться в качестве ценообразующих факторов. Это позволит осуществлять сбор, накопление и обмен сведениями для определения справедливой кадастровой стоимости. Для правообладателей объектов недвижимости на базе платформы будет предусмотрен ряд сервисов обратной</w:t>
      </w:r>
      <w:r>
        <w:rPr>
          <w:b w:val="0"/>
          <w:bCs w:val="0"/>
          <w:color w:val="292c2f"/>
        </w:rPr>
        <w:t xml:space="preserve"> связи по вопросам определения кадастровой стоимости»,</w:t>
      </w:r>
      <w:r>
        <w:rPr>
          <w:b w:val="0"/>
          <w:bCs w:val="0"/>
          <w:color w:val="292c2f"/>
        </w:rPr>
        <w:t xml:space="preserve"> - сказала </w:t>
      </w:r>
      <w:r>
        <w:rPr>
          <w:b w:val="0"/>
          <w:bCs w:val="0"/>
          <w:color w:val="292c2f"/>
        </w:rPr>
        <w:t xml:space="preserve">Татьяна Громова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Начальник Управления экономики недвижимости Росреестра </w:t>
      </w:r>
      <w:r>
        <w:rPr>
          <w:b w:val="0"/>
          <w:bCs w:val="0"/>
          <w:color w:val="292c2f"/>
        </w:rPr>
        <w:t xml:space="preserve">Елена Загородникова</w:t>
      </w:r>
      <w:r>
        <w:rPr>
          <w:b w:val="0"/>
          <w:bCs w:val="0"/>
          <w:color w:val="292c2f"/>
        </w:rPr>
        <w:t xml:space="preserve"> отметила положительную динамику посещаемости подсистемы рынка недвижимости ФГИС ЕЦП НСПД. Количество авторизованных пользователей уже превысило 2 тыс. человек. Из них почти 700 человек представляют структуры Большого Росреестра, включая территориальные ор</w:t>
      </w:r>
      <w:r>
        <w:rPr>
          <w:b w:val="0"/>
          <w:bCs w:val="0"/>
          <w:color w:val="292c2f"/>
        </w:rPr>
        <w:t xml:space="preserve">ганы ведомства, ППК «Роскадастр» и филиалы компании. Около 1,5 тыс. пользователей – сотрудники бюджетных учреждений, наделенных полномочиями по определению кадастровой стоимости.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Для обеспечения проведения государственной кадастровой оценки бюджетным учреждениям рекомендовано провести анализ пространственных данных, которые будут использоваться для определения значений ценообразующих факторов.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целях повышения компетенций специал</w:t>
      </w:r>
      <w:r>
        <w:rPr>
          <w:b w:val="0"/>
          <w:bCs w:val="0"/>
          <w:color w:val="292c2f"/>
        </w:rPr>
        <w:t xml:space="preserve">истов на базе корпоративного университета ППК «Роскадастр» разработан образовательный курс по работе во ФГИС ЕЦП НСПД в части государственной кадастровой оценки. Обучение ориентировано на сотрудников бюджетных учреждений, филиалов ППК «Роскадастр» и террит</w:t>
      </w:r>
      <w:r>
        <w:rPr>
          <w:b w:val="0"/>
          <w:bCs w:val="0"/>
          <w:color w:val="292c2f"/>
        </w:rPr>
        <w:t xml:space="preserve">ориальных органов Росреестра, участвующих в процессе ГКО. Общее количество слушателей курса составило 697 человек, из них 519 – представители бюджетных учреждений. В 2025 году запланировано три этапа обучения.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Основной задачей экспертной группы на 2025 го</w:t>
      </w:r>
      <w:r>
        <w:rPr>
          <w:b w:val="0"/>
          <w:bCs w:val="0"/>
          <w:color w:val="292c2f"/>
        </w:rPr>
        <w:t xml:space="preserve">д является подготовка к проведению государственной кадастровой оценки земельных участков в 2026 году, в том числе с использованием функционала ФГИС ЕЦП НСПД. Основное внимание уделяется дальнейшему развитию системы на основе предложений, представленных бюд</w:t>
      </w:r>
      <w:r>
        <w:rPr>
          <w:b w:val="0"/>
          <w:bCs w:val="0"/>
          <w:color w:val="292c2f"/>
        </w:rPr>
        <w:t xml:space="preserve">жетными учреждениями.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повышения эффективности работы экспертной группы в 2024 году по инициативе регионов были сформированы профильные комитеты, целью которых стало совершенствование методологии проведения кадастровой оценки. В ходе заседания были рас</w:t>
      </w:r>
      <w:r>
        <w:rPr>
          <w:b w:val="0"/>
          <w:bCs w:val="0"/>
          <w:color w:val="292c2f"/>
        </w:rPr>
        <w:t xml:space="preserve">смотрены предложения о внесении изменений в методические указания о ГКО, представленные участниками комитета по вопросам методологии определения кадастровой стоимости.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Принимаемые меры и внедряемые инновации направлены на создание современной и прозрачной</w:t>
      </w:r>
      <w:r>
        <w:rPr>
          <w:b w:val="0"/>
          <w:bCs w:val="0"/>
          <w:color w:val="292c2f"/>
        </w:rPr>
        <w:t xml:space="preserve"> системы государственной кадастровой оценки, отвечающей потребностям государства и гражд</w:t>
      </w:r>
      <w:r>
        <w:rPr>
          <w:rFonts w:ascii="Roboto" w:hAnsi="Roboto" w:eastAsia="Roboto" w:cs="Roboto"/>
          <w:color w:val="292c2f"/>
          <w:sz w:val="24"/>
        </w:rPr>
        <w:t xml:space="preserve">ан.</w:t>
      </w:r>
      <w:r>
        <w:rPr>
          <w:highlight w:val="none"/>
          <w14:ligatures w14:val="none"/>
        </w:rPr>
      </w:r>
      <w:r>
        <w:rPr>
          <w:highlight w:val="none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12.</w:t>
      </w:r>
      <w:r>
        <w:rPr>
          <w:b/>
          <w:bCs/>
          <w:color w:val="292c2f"/>
        </w:rPr>
        <w:t xml:space="preserve"> </w:t>
      </w:r>
      <w:r>
        <w:rPr>
          <w:b/>
          <w:bCs/>
          <w:color w:val="292c2f"/>
        </w:rPr>
        <w:t xml:space="preserve">Росреестр запустил мобильное приложение для граждан и профессиональных участников рынка недвижимости.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запустил на площадках </w:t>
      </w:r>
      <w:hyperlink r:id="rId158" w:tooltip="https://www.rustore.ru/catalog/app/ru.rosreestr.mobile" w:history="1">
        <w:r>
          <w:rPr>
            <w:b w:val="0"/>
            <w:bCs w:val="0"/>
            <w:color w:val="292c2f"/>
          </w:rPr>
          <w:t xml:space="preserve">RuStore</w:t>
        </w:r>
      </w:hyperlink>
      <w:r>
        <w:rPr>
          <w:b w:val="0"/>
          <w:bCs w:val="0"/>
          <w:color w:val="292c2f"/>
        </w:rPr>
        <w:t xml:space="preserve"> и </w:t>
      </w:r>
      <w:hyperlink r:id="rId159" w:tooltip="https://play.google.com/store/apps/details?id=ru.rosreestr.mobile" w:history="1">
        <w:r>
          <w:rPr>
            <w:b w:val="0"/>
            <w:bCs w:val="0"/>
            <w:color w:val="292c2f"/>
          </w:rPr>
          <w:t xml:space="preserve">Google Play</w:t>
        </w:r>
      </w:hyperlink>
      <w:r>
        <w:rPr>
          <w:b w:val="0"/>
          <w:bCs w:val="0"/>
          <w:color w:val="292c2f"/>
        </w:rPr>
        <w:t xml:space="preserve"> мобильное приложение для физических лиц и кадастровых инженеров, с помощью которого можно получить ряд государственных услуг ведомства и воспользоваться публичной кадастровой картой.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 целях повышения доступности и удобства электронных услуг и сервисов Росреестра мы ввели в эксплуатацию мобильное приложение ведомства. Оно синхронизировано с личным кабинетом пользователя на сайте Росреестра и позволяет оперативно получить целый ряд усл</w:t>
      </w:r>
      <w:r>
        <w:rPr>
          <w:b w:val="0"/>
          <w:bCs w:val="0"/>
          <w:color w:val="292c2f"/>
        </w:rPr>
        <w:t xml:space="preserve">уг в сфере земли и недвижимости. Воспользоваться им могут как граждане, так и профессиональные участники рынка недвижимости – кадастровые инженеры, для которых в приложении предусмотрен отдельный раздел»,</w:t>
      </w:r>
      <w:r>
        <w:rPr>
          <w:b w:val="0"/>
          <w:bCs w:val="0"/>
          <w:color w:val="292c2f"/>
        </w:rPr>
        <w:t xml:space="preserve"> - сказал заместитель руководителя Росреестра </w:t>
      </w:r>
      <w:r>
        <w:rPr>
          <w:b w:val="0"/>
          <w:bCs w:val="0"/>
          <w:color w:val="292c2f"/>
        </w:rPr>
        <w:t xml:space="preserve">Максим Смирнов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частности, с помощью приложения можно получить информацию о своих объектах недвижимости, а также общедоступную справочную информацию о любых других объектах (по кадастровому номеру или адресу). Участники долевой собственности смогут просматривать в пр</w:t>
      </w:r>
      <w:r>
        <w:rPr>
          <w:b w:val="0"/>
          <w:bCs w:val="0"/>
          <w:color w:val="292c2f"/>
        </w:rPr>
        <w:t xml:space="preserve">иложении извещения о продаже доли в праве.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разделе «Недвижимость» можно подать заявления о внесении в ЕГРН сведений об изменении почтового адреса и электронной почты, по которым осуществляется связь с заявителем, о невозможности осуществления регистраци</w:t>
      </w:r>
      <w:r>
        <w:rPr>
          <w:b w:val="0"/>
          <w:bCs w:val="0"/>
          <w:color w:val="292c2f"/>
        </w:rPr>
        <w:t xml:space="preserve">онных действий без личного участия, а также об исправлении технических ошибок в сведениях ЕГРН.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разделе «Сервисы» можно проверить статус исполнения запроса, подлинность электронного документа, поступившего заявителю, или записаться на личный прием в Рос</w:t>
      </w:r>
      <w:r>
        <w:rPr>
          <w:b w:val="0"/>
          <w:bCs w:val="0"/>
          <w:color w:val="292c2f"/>
        </w:rPr>
        <w:t xml:space="preserve">реестр.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Есть возможность заказать выписку из ЕГРН – приложение автоматически перенаправит заявителя на Портал госуслуг, после чего готовый документ можно просмотреть и скачать в самом приложении.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Кроме того, через приложение можно получить доступ к функц</w:t>
      </w:r>
      <w:r>
        <w:rPr>
          <w:b w:val="0"/>
          <w:bCs w:val="0"/>
          <w:color w:val="292c2f"/>
        </w:rPr>
        <w:t xml:space="preserve">ионалу публичной кадастровой карты, а также к отечественной картографической основе (ЕЭКО и Цифровая объектовая схема Национальной системы пространственных данных), ортофотопланам масштабов 1:2000 и 1:10000.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настоящее время приложение функционирует на с</w:t>
      </w:r>
      <w:r>
        <w:rPr>
          <w:b w:val="0"/>
          <w:bCs w:val="0"/>
          <w:color w:val="292c2f"/>
        </w:rPr>
        <w:t xml:space="preserve">мартфонах и планшетах, разработанных на платформе Android. Планируется, что в ближайшее время оно также станет доступно на платформе iOS.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708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13. </w:t>
      </w:r>
      <w:r>
        <w:rPr>
          <w:b/>
          <w:bCs/>
          <w:color w:val="292c2f"/>
        </w:rPr>
        <w:t xml:space="preserve">Итоги горячей телефонной линии по вопросам выдела машино-мест.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Новосибирский Росреестр провел «горячую» телефонную линию по вопросам особенностей выдела машино-мест.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 2017 года машино-места регистрировались как право общей долевой собственности на долю в нежилом помещении. В связи с большим количеством сособственни</w:t>
      </w:r>
      <w:r>
        <w:rPr>
          <w:b w:val="0"/>
          <w:bCs w:val="0"/>
          <w:color w:val="292c2f"/>
        </w:rPr>
        <w:t xml:space="preserve">ков правообладатели машино-мест сталкивались с трудностями в процессе распоряжения своими долями,  так как для возмездного отчуждения необходимо получение письменного согласия остальных сособственников либо уведомление  их о предстоящей продаже.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настоящ</w:t>
      </w:r>
      <w:r>
        <w:rPr>
          <w:b w:val="0"/>
          <w:bCs w:val="0"/>
          <w:color w:val="292c2f"/>
        </w:rPr>
        <w:t xml:space="preserve">ее время законодательство значительно упростило жизнь обладателям машино-мест.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Участники долевой собственности  вправе выделить свою долю в натуре  в виде машино-места в случае государственной регистрации права общей долевой собственности до 01.01.2017.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Для этого потребуется технический план, который готовит кадастровый инженер. Он проводит процедуру согласования  местоположения машино-места с участниками общей долевой собственности через размещение публикаций о предстоящем выделе: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на официальном сайт</w:t>
      </w:r>
      <w:r>
        <w:rPr>
          <w:b w:val="0"/>
          <w:bCs w:val="0"/>
          <w:color w:val="292c2f"/>
        </w:rPr>
        <w:t xml:space="preserve">е для опубликования муниципальных правовых актов,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на досках объявлений (при наличии).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течение 30 календарных дней с момента опубликования участники долевой собственности вправе представить обоснованные возражения относительно местоположения образуемо</w:t>
      </w:r>
      <w:r>
        <w:rPr>
          <w:b w:val="0"/>
          <w:bCs w:val="0"/>
          <w:color w:val="292c2f"/>
        </w:rPr>
        <w:t xml:space="preserve">го машино-места.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случае отсутствия возражений кадастровым инженером подготавливается технический план для регистрации выделенного машино-места.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Документы предоставляются  через офисы Многофункционального центра (телефон для справок 052) или в электронн</w:t>
      </w:r>
      <w:r>
        <w:rPr>
          <w:b w:val="0"/>
          <w:bCs w:val="0"/>
          <w:color w:val="292c2f"/>
        </w:rPr>
        <w:t xml:space="preserve">ом виде через портал госуслуг.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</w:rPr>
        <w:t xml:space="preserve">14. </w:t>
      </w:r>
      <w:r>
        <w:rPr>
          <w:b/>
          <w:bCs/>
          <w:color w:val="292c2f"/>
        </w:rPr>
        <w:t xml:space="preserve">Доля электронных заявлений для оформления недвижимости в Новосибирской области достигла 60%.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Доля электронных заявлений для оформления недвижимости в Новосибирской области достигла 60% . Для сравнения, в 2024 году этот показатель составлял 51%, а в 2023 – 45%.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начала 2025 года из 69 тыс. поступивших заявлений 40 тыс. направлено новосибирцами он</w:t>
      </w:r>
      <w:r>
        <w:rPr>
          <w:b w:val="0"/>
          <w:bCs w:val="0"/>
          <w:color w:val="292c2f"/>
        </w:rPr>
        <w:t xml:space="preserve">лайн. Количество заявлений на государственную регистрацию прав в электронной форме также продолжает расти. В сравнении с февралем прошлого года оно увеличилось на 40%, что подтверждает востребованность цифровых услуг в сфере регистрации недвижимости.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Не с</w:t>
      </w:r>
      <w:r>
        <w:rPr>
          <w:b w:val="0"/>
          <w:bCs w:val="0"/>
          <w:color w:val="292c2f"/>
        </w:rPr>
        <w:t xml:space="preserve">нижается интерес к электронной регистрации ипотеки. В феврале 98% сделок в этом сегменте оформлено онлайн всего за один день. Это подчеркивает удобство цифровых сервисов и их значительную роль в упрощении регистрации сделок с недвижимостью.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Росреестр прод</w:t>
      </w:r>
      <w:r>
        <w:rPr>
          <w:b w:val="0"/>
          <w:bCs w:val="0"/>
          <w:color w:val="292c2f"/>
        </w:rPr>
        <w:t xml:space="preserve">олжает работу по расширению доступности электронных услуг, снижению сроков регистрации и повыше</w:t>
      </w:r>
      <w:r>
        <w:rPr>
          <w:b w:val="0"/>
          <w:bCs w:val="0"/>
          <w:color w:val="292c2f"/>
        </w:rPr>
        <w:t xml:space="preserve">нию комфорта для граждан.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15. </w:t>
      </w:r>
      <w:r>
        <w:rPr>
          <w:b/>
          <w:bCs/>
          <w:color w:val="292c2f"/>
        </w:rPr>
        <w:t xml:space="preserve">Оплата государственной пошлины за оформление недвижимости осуществляется по УИН.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 w:val="0"/>
          <w:bCs w:val="0"/>
          <w:color w:val="292c2f"/>
        </w:rPr>
        <w:t xml:space="preserve">С 1 марта 2025 года в филиале МФЦ города Новосибирска «Площадь Труда» оплатить государственные услуги Росреестра можно по уникальному идентификатору начисления (УИН).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УИН формируется для каждой услуги и необходим для идентификации платежа и получения Ро</w:t>
      </w:r>
      <w:r>
        <w:rPr>
          <w:b w:val="0"/>
          <w:bCs w:val="0"/>
          <w:color w:val="292c2f"/>
        </w:rPr>
        <w:t xml:space="preserve">среестром подтверждения факта оплаты государственной пошлины.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 обращении за услугами по государственной регистрации недвижимости в электронном виде УИН формируется автоматически, а в случае обращения через МФЦ – квитанцию с QR - кодом, содержащую УИН, </w:t>
      </w:r>
      <w:r>
        <w:rPr>
          <w:b w:val="0"/>
          <w:bCs w:val="0"/>
          <w:color w:val="292c2f"/>
        </w:rPr>
        <w:t xml:space="preserve">выдаст специалист приема документов.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Произвести оплату можно в филиале МФЦ или в любом отделении банка, а также самостоятельно через мобильный банк.</w:t>
        <w:br/>
        <w:t xml:space="preserve">УИН действителен в течение 5 дней с даты его получения. Оплата государственной пошлины в день обращения за</w:t>
      </w:r>
      <w:r>
        <w:rPr>
          <w:b w:val="0"/>
          <w:bCs w:val="0"/>
          <w:color w:val="292c2f"/>
        </w:rPr>
        <w:t xml:space="preserve"> услугой сократит общий срок ее предоставления.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Отсутствие у Росреестра информации об оплате государственной пошлины является основанием для возврата документов  без рассмотрения.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 наличии вопросов о порядке и размерах оплаты государственной пошлины в</w:t>
      </w:r>
      <w:r>
        <w:rPr>
          <w:b w:val="0"/>
          <w:bCs w:val="0"/>
          <w:color w:val="292c2f"/>
        </w:rPr>
        <w:t xml:space="preserve">ы можете обратиться к специалисту МФЦ, осуществляющему прием документов, а в случае подачи документов в электронном виде –  в «школу электронных услуг» Новосибирского Росреестра по номеру телефона: 8 (383) 243-88-28, 8 (383) 330-52-70, 8 (383-56)-20-786.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16. </w:t>
      </w:r>
      <w:r>
        <w:rPr>
          <w:b/>
          <w:bCs/>
          <w:color w:val="292c2f"/>
        </w:rPr>
        <w:t xml:space="preserve">«Новеллы Росреестра»: об изменениях в оформлении недвижимого имущества рассказала заместитель руководителя новосибирского Росреестра.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1 марта сделки с землей не смогут быть совершены, если в Едином государственном реестре недвижимости (ЕГРН) отсутствуют сведения о местоположении границ земельного участка. Об этих и других существенных изменениях в сфере оформления недвижимости слушайте</w:t>
      </w:r>
      <w:r>
        <w:rPr>
          <w:b w:val="0"/>
          <w:bCs w:val="0"/>
          <w:color w:val="292c2f"/>
        </w:rPr>
        <w:t xml:space="preserve"> в интервью с заместителем руководителя Управления Росреестра по Новосибирской области Натальей Ивчатовой на «Радио России» (Новосибирск) в программе «В курсе дня. Правовой четверг».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Вы узнаете: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как проверить, внесены ли в ЕГРН сведения о границах?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</w:t>
      </w:r>
      <w:r>
        <w:rPr>
          <w:b w:val="0"/>
          <w:bCs w:val="0"/>
          <w:color w:val="292c2f"/>
        </w:rPr>
        <w:t xml:space="preserve">в каких районах Новосибирской области проводятся комплексные кадастровые работы?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- какие объекты недвижимости подлежат государственной регистрации и относятся ли к ним хозпостройки?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каким рискам подвергаются собственники недвижимости в случае отсутстви</w:t>
      </w:r>
      <w:r>
        <w:rPr>
          <w:b w:val="0"/>
          <w:bCs w:val="0"/>
          <w:color w:val="292c2f"/>
        </w:rPr>
        <w:t xml:space="preserve">я сведений о правах в ЕГРН?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где можно получить бесплатные консультации специалистов новосибирского Росреестра?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Запись эфира можно посмотреть по ссылке </w:t>
      </w:r>
      <w:hyperlink r:id="rId160" w:tooltip="https://vk.com/nsktv_ru?w=wall-38320907_86768" w:history="1">
        <w:r>
          <w:rPr>
            <w:b w:val="0"/>
            <w:bCs w:val="0"/>
            <w:color w:val="292c2f"/>
          </w:rPr>
          <w:t xml:space="preserve">https://vk.com/nsktv_ru?w=wall-38320907_86768</w:t>
        </w:r>
      </w:hyperlink>
      <w:r>
        <w:t xml:space="preserve">.</w:t>
      </w:r>
      <w:r>
        <w:rPr>
          <w:highlight w:val="none"/>
          <w14:ligatures w14:val="none"/>
        </w:rPr>
      </w:r>
      <w:r>
        <w:rPr>
          <w:highlight w:val="none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17. </w:t>
      </w:r>
      <w:r>
        <w:rPr>
          <w:b/>
          <w:bCs/>
          <w:color w:val="292c2f"/>
        </w:rPr>
        <w:t xml:space="preserve">Школа электронных услуг Росреестра.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Cпециалисты новосибирского Росреестра готовы оказать  консультации юридическим лицам по оформлению недвижимости через электронный сервис официального сайта Росреестра </w:t>
      </w:r>
      <w:hyperlink r:id="rId161" w:tooltip="https://rosreestr.gov.ru/" w:history="1">
        <w:r>
          <w:rPr>
            <w:b w:val="0"/>
            <w:bCs w:val="0"/>
            <w:color w:val="292c2f"/>
          </w:rPr>
          <w:t xml:space="preserve">«Личный кабинет»</w:t>
        </w:r>
      </w:hyperlink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Управлении Росреестра по Новосибирской области работает школа электронных услуг, в которой специалисты оказывают практическую помощь в обучении процессов получения услуг ведомства в электронном виде.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 начала года уже проведено шесть обуч</w:t>
      </w:r>
      <w:r>
        <w:rPr>
          <w:b w:val="0"/>
          <w:bCs w:val="0"/>
          <w:color w:val="292c2f"/>
        </w:rPr>
        <w:t xml:space="preserve">ающих семинаров для профессиональных участников рынка недвижимости, среди них - застройщики, специалисты кредитных организаций, риелторы и иные юридические лица. Разработаны специальные видеоинструкции по подаче документов через личный кабинет, которые опу</w:t>
      </w:r>
      <w:r>
        <w:rPr>
          <w:b w:val="0"/>
          <w:bCs w:val="0"/>
          <w:color w:val="292c2f"/>
        </w:rPr>
        <w:t xml:space="preserve">бликованы на странице Управления в социальных сетях (</w:t>
      </w:r>
      <w:hyperlink r:id="rId162" w:tooltip="https://t.me/rosreestr_nsk/2913" w:history="1">
        <w:r>
          <w:rPr>
            <w:b w:val="0"/>
            <w:bCs w:val="0"/>
            <w:color w:val="292c2f"/>
          </w:rPr>
          <w:t xml:space="preserve">https://t.me/rosreestr_nsk/2913</w:t>
        </w:r>
      </w:hyperlink>
      <w:r>
        <w:rPr>
          <w:b w:val="0"/>
          <w:bCs w:val="0"/>
          <w:color w:val="292c2f"/>
        </w:rPr>
        <w:t xml:space="preserve">, </w:t>
      </w:r>
      <w:hyperlink r:id="rId163" w:tooltip="https://t.me/rosreestr_nsk/2771" w:history="1">
        <w:r>
          <w:rPr>
            <w:b w:val="0"/>
            <w:bCs w:val="0"/>
            <w:color w:val="292c2f"/>
          </w:rPr>
          <w:t xml:space="preserve">https://t.me/rosreestr_nsk/2771</w:t>
        </w:r>
      </w:hyperlink>
      <w:r>
        <w:rPr>
          <w:b w:val="0"/>
          <w:bCs w:val="0"/>
          <w:color w:val="292c2f"/>
        </w:rPr>
        <w:t xml:space="preserve">, </w:t>
      </w:r>
      <w:hyperlink r:id="rId164" w:tooltip="https://vk.com/wall-118967869_3358" w:history="1">
        <w:r>
          <w:rPr>
            <w:b w:val="0"/>
            <w:bCs w:val="0"/>
            <w:color w:val="292c2f"/>
          </w:rPr>
          <w:t xml:space="preserve">https://vk.com/wall-118967869_3358</w:t>
        </w:r>
      </w:hyperlink>
      <w:r>
        <w:rPr>
          <w:b w:val="0"/>
          <w:bCs w:val="0"/>
          <w:color w:val="292c2f"/>
        </w:rPr>
        <w:t xml:space="preserve">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Записаться в Школу электронных услуг можно  по телефонам: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- 8(383) 211 21 15, 8(383) 252 09 86, в будние дни с 08:00 до 16:00. Обучения проводятся для всех желающих бесплатно и на постоянной основе.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«Посетив обучающий семинар, хочется выразить сл</w:t>
      </w:r>
      <w:r>
        <w:rPr>
          <w:b w:val="0"/>
          <w:bCs w:val="0"/>
          <w:color w:val="292c2f"/>
        </w:rPr>
        <w:t xml:space="preserve">ова благодарности сотрудникам новосибирского Росреестра, которые не только раскрыли нововведения в законодательстве о государственной регистрации прав, а также с использованием информационных технологий пошагово объяснили процедуру электронной подачи докум</w:t>
      </w:r>
      <w:r>
        <w:rPr>
          <w:b w:val="0"/>
          <w:bCs w:val="0"/>
          <w:color w:val="292c2f"/>
        </w:rPr>
        <w:t xml:space="preserve">ентов», - Евгений Шипичук главный юрисконсульт новосибирского Облпотребсоюза.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Дополнительно сообщаем, что все вопросы по оформлению недвижимости в электронном виде можно задать по телефонам: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- 8 (383) 330 52 70 - по вопросам кадастрового учета;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- 8 (383) 562 07 86, 8 (383) 243 88 28  - по вопросам электронной регистрации прав и сделок.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18. </w:t>
      </w:r>
      <w:r>
        <w:rPr>
          <w:b/>
          <w:bCs/>
          <w:color w:val="292c2f"/>
        </w:rPr>
        <w:t xml:space="preserve">Проблемы наполнения ЕГРН сведениями о границах рассмотрены на заседании коллегии регионального Росреестра</w:t>
      </w:r>
      <w:r>
        <w:rPr>
          <w:b/>
          <w:bCs/>
          <w:color w:val="292c2f"/>
        </w:rP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2 апреля в Управлении Росреестра по Новосибирской области прошло заседание коллегии по вопросам наполнения Единого государственного реестра недвижимости (ЕГРН) сведениями о границах населенных пунктов и территориальных зон, округов санитарной охраны лечебн</w:t>
      </w:r>
      <w:r>
        <w:rPr>
          <w:b w:val="0"/>
          <w:bCs w:val="0"/>
          <w:color w:val="292c2f"/>
        </w:rPr>
        <w:t xml:space="preserve">о-оздоровительных местностей и курортов, с участием руководства и сотрудников Управления, филиала ППК «Роскадастр» по Новосибирской области и региональных министерств.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реализации государственной программы НСПД совместно с региональными органами в</w:t>
      </w:r>
      <w:r>
        <w:rPr>
          <w:b w:val="0"/>
          <w:bCs w:val="0"/>
          <w:color w:val="292c2f"/>
        </w:rPr>
        <w:t xml:space="preserve">ласти проводится работа по наполнению ЕГРН необходимыми сведениями. На данный момент в полном объеме внесены сведения о границах между Новосибирской областью и соседними субъектами Российской Федерации, границах муниципальных образований, лесничеств, терри</w:t>
      </w:r>
      <w:r>
        <w:rPr>
          <w:b w:val="0"/>
          <w:bCs w:val="0"/>
          <w:color w:val="292c2f"/>
        </w:rPr>
        <w:t xml:space="preserve">торий опережающего развития, зон затопления и подтопления, лесопаркового зеленого пояса вокруг Новосибирска.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Заместитель руководителя регионального Росреестра </w:t>
      </w:r>
      <w:r>
        <w:rPr>
          <w:b w:val="0"/>
          <w:bCs w:val="0"/>
          <w:color w:val="292c2f"/>
        </w:rPr>
        <w:t xml:space="preserve">Наталья Зайцева</w:t>
      </w:r>
      <w:r>
        <w:rPr>
          <w:b w:val="0"/>
          <w:bCs w:val="0"/>
          <w:color w:val="292c2f"/>
        </w:rPr>
        <w:t xml:space="preserve"> в своем докладе рассказала о реализации государственной программы «Национальная система пространственных данных» (НСПД), проблемах и перспективах внесения в ЕГРН сведений о границах населенных пунктов и территориальных зон в Новосибирской области: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«Совместная работа с региональными органами власти по наполнению ЕГРН необходимыми сведениями показала положительные результаты. По состоянию на 1 марта 2025 года в реестр границ ЕГРН внесено 99% территорий объектов культурного наследия, 97% - особо охраня</w:t>
      </w:r>
      <w:r>
        <w:rPr>
          <w:b w:val="0"/>
          <w:bCs w:val="0"/>
          <w:color w:val="292c2f"/>
        </w:rPr>
        <w:t xml:space="preserve">емых природных территорий, 73,5% - границ населенных пунктов и 51,1% - границ территориальных зон Новосибирской области».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Начальник управления архитектуры и градостроительства министерства строительства Новосибирской области </w:t>
      </w:r>
      <w:r>
        <w:rPr>
          <w:b w:val="0"/>
          <w:bCs w:val="0"/>
          <w:color w:val="292c2f"/>
        </w:rPr>
        <w:t xml:space="preserve">Екатерина Савонина</w:t>
      </w:r>
      <w:r>
        <w:rPr>
          <w:b w:val="0"/>
          <w:bCs w:val="0"/>
          <w:color w:val="292c2f"/>
        </w:rPr>
        <w:t xml:space="preserve"> в своем выступлении сообщила о принятых в регионе мерах:</w:t>
      </w:r>
      <w:r>
        <w:rPr>
          <w:b w:val="0"/>
          <w:bCs w:val="0"/>
          <w:color w:val="292c2f"/>
        </w:rPr>
        <w:t xml:space="preserve"> «Во взаимодействии с органами местного самоуправления Новосибирской области ведется актуализация генеральных планов, правил землепользования и застройки. Организована работа по одновременному внесению в ЕГРН сведений о границах населенных пунктов и террит</w:t>
      </w:r>
      <w:r>
        <w:rPr>
          <w:b w:val="0"/>
          <w:bCs w:val="0"/>
          <w:color w:val="292c2f"/>
        </w:rPr>
        <w:t xml:space="preserve">ориальных зон с целью исключения пересечения указанных границ»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О ситуации в регионе по внесению в ЕГРН границ округов санитарной охраны курорта федерального значения «Озеро Карачи» и лечебно-оздоровительных местностей регионального значения рассказал заместитель министра природных ресурсов и экологии Новосибирской </w:t>
      </w:r>
      <w:r>
        <w:rPr>
          <w:b w:val="0"/>
          <w:bCs w:val="0"/>
          <w:color w:val="292c2f"/>
        </w:rPr>
        <w:t xml:space="preserve">области </w:t>
      </w:r>
      <w:r>
        <w:rPr>
          <w:b w:val="0"/>
          <w:bCs w:val="0"/>
          <w:color w:val="292c2f"/>
        </w:rPr>
        <w:t xml:space="preserve">Дмитрий Цуканов</w:t>
      </w:r>
      <w:r>
        <w:rPr>
          <w:b w:val="0"/>
          <w:bCs w:val="0"/>
          <w:color w:val="292c2f"/>
        </w:rPr>
        <w:t xml:space="preserve">: </w:t>
      </w:r>
      <w:r>
        <w:rPr>
          <w:b w:val="0"/>
          <w:bCs w:val="0"/>
          <w:color w:val="292c2f"/>
        </w:rPr>
        <w:t xml:space="preserve">«В настоящее время продолжается работа по установлению границ курорта федерального значения «Озеро Карачи». После согласования документации с министерством здравоохранения Российской Федерации информация будет внесена в ЕГРН. В 2024 году внесены изменения </w:t>
      </w:r>
      <w:r>
        <w:rPr>
          <w:b w:val="0"/>
          <w:bCs w:val="0"/>
          <w:color w:val="292c2f"/>
        </w:rPr>
        <w:t xml:space="preserve">в действующее законодательство, планируется провести ряд мероприятий по подготовке нормативной правовой базы и формированию перечня лечебно-оздоровительных местностей регионального значения»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Участники коллегии приняли ряд решений о мерах по ускорению процесса внесения сведений о границах в ЕГРН. В течение года будут организованы совещания и рабочие встречи с участием региональных министерств и ведомств для достижения целевых значений на кон</w:t>
      </w:r>
      <w:r>
        <w:rPr>
          <w:b w:val="0"/>
          <w:bCs w:val="0"/>
          <w:color w:val="292c2f"/>
        </w:rPr>
        <w:t xml:space="preserve">ец 2025 года – 90% по установлению границ населенных пунктов и территориальных зон, 100% - границ округов санитарной охраны лечебно-оздоровительных местностей и курортов федерального значения. По итогам реализации государственной программы НСПД к концу 203</w:t>
      </w:r>
      <w:r>
        <w:rPr>
          <w:b w:val="0"/>
          <w:bCs w:val="0"/>
          <w:color w:val="292c2f"/>
        </w:rPr>
        <w:t xml:space="preserve">0 года уровень полноты и качества данных ЕГРН должен составлять не менее 95%.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19. </w:t>
      </w:r>
      <w:r>
        <w:rPr>
          <w:b/>
          <w:bCs/>
          <w:color w:val="292c2f"/>
        </w:rPr>
        <w:t xml:space="preserve">Представители новосибирского Росреестра приняли участие в конференции для девелоперов.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Конференция «Многоквартирное строительство: новые вызовы и перспективы», организованная Единым ресурсом застройщиков в Новосибирской области  3 апреля 2025 года для девелоперов Сибирского федерального округа.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Заместитель руководителя Управления Росреестра</w:t>
      </w:r>
      <w:r>
        <w:rPr>
          <w:b w:val="0"/>
          <w:bCs w:val="0"/>
          <w:color w:val="292c2f"/>
        </w:rPr>
        <w:t xml:space="preserve"> по Новосибирской области Наталья Ивчатова приняла участие в работе конференции и выступила с докладом об электронном взаимодействии Росреестра с юридическими лицами, ответила на актуальные вопросы компаний застройщиков об изменениях законодательства, всту</w:t>
      </w:r>
      <w:r>
        <w:rPr>
          <w:b w:val="0"/>
          <w:bCs w:val="0"/>
          <w:color w:val="292c2f"/>
        </w:rPr>
        <w:t xml:space="preserve">пивших в силу с 1 марта 2025 года.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«Новосибирская область на протяжении многих лет остается лидером по вводу жилья среди регионов Сибири. Электронное взаимодействие Росреестра и компаний застройщиков, которое начало развиваться в регионе 10 лет назад, привело сегодня к 100% электронных реги</w:t>
      </w:r>
      <w:r>
        <w:rPr>
          <w:b w:val="0"/>
          <w:bCs w:val="0"/>
          <w:color w:val="292c2f"/>
        </w:rPr>
        <w:t xml:space="preserve">страций договоров на первичном рынке недвижимости. Цифровые сервисы уже доказали свою эффективность, весь процесс взаимодействия стал прозрачным, оперативным, обеспечивающим защиту от мошеннических действий»</w:t>
      </w:r>
      <w:r>
        <w:rPr>
          <w:b w:val="0"/>
          <w:bCs w:val="0"/>
          <w:color w:val="292c2f"/>
        </w:rPr>
        <w:t xml:space="preserve">, - отметила </w:t>
      </w:r>
      <w:r>
        <w:rPr>
          <w:b w:val="0"/>
          <w:bCs w:val="0"/>
          <w:color w:val="292c2f"/>
        </w:rPr>
        <w:t xml:space="preserve">Наталья Ивчатова</w:t>
      </w:r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</w:rPr>
        <w:t xml:space="preserve">20. </w:t>
      </w:r>
      <w:r>
        <w:rPr>
          <w:b/>
          <w:bCs/>
          <w:color w:val="292c2f"/>
        </w:rPr>
        <w:t xml:space="preserve">Новые свободные территории для жилищного строительства выявлены в Новосибирской области.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список свободных земель, пригодных для осуществления жилищного строительства, вошли участки и территории Тогучинского, Мошковского и Доволенского районов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Такое решение принято оперативным штабом, действующим при Управлении Росреес</w:t>
      </w:r>
      <w:r>
        <w:rPr>
          <w:b w:val="0"/>
          <w:bCs w:val="0"/>
          <w:color w:val="292c2f"/>
        </w:rPr>
        <w:t xml:space="preserve">тра по Новосибирской области при участии представителей региональных и местных органов власти.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Выявленные три территории для многоквартирного строительства расположены в городе Тогучин на улицах Бригадная и Целинная.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Два свободных земельных участка наход</w:t>
      </w:r>
      <w:r>
        <w:rPr>
          <w:b w:val="0"/>
          <w:bCs w:val="0"/>
          <w:color w:val="292c2f"/>
        </w:rPr>
        <w:t xml:space="preserve">ятся в рабочем поселке Мошково (улицы Кирова и Железнодорожная), два - в селе Ташара (улица Декабристов) и один участок - в поселке Октябрьский (улица Строительная) Мошковского района – эти участки пригодны для многоквартирной и индивидуальной жилой застро</w:t>
      </w:r>
      <w:r>
        <w:rPr>
          <w:b w:val="0"/>
          <w:bCs w:val="0"/>
          <w:color w:val="292c2f"/>
        </w:rPr>
        <w:t xml:space="preserve">йки.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селе Довольное выявлено три земельных участка на улицах Светлая и Магистральная, их можно получить для строительства как многоквартирного, так и индивидуального жилого дома.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«Работа по выявлению свободных земельных участков в регионе ведется на протяжении уже нескольких лет. На 1 апреля 2025 года в Новосибирской области выявлено 495 земельных участков и территорий площадью 2 730,5 га»</w:t>
      </w:r>
      <w:r>
        <w:rPr>
          <w:b w:val="0"/>
          <w:bCs w:val="0"/>
          <w:color w:val="292c2f"/>
        </w:rPr>
        <w:t xml:space="preserve">, - сообщила заместитель руководителя новосибирского Росреестра Наталья Ивчатова.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ближайшее время ознакомиться со всеми выявленными участками можно будет на сервисе «Земля для стройки» портала пространственных данных «Национальная система пространственн</w:t>
      </w:r>
      <w:r>
        <w:rPr>
          <w:b w:val="0"/>
          <w:bCs w:val="0"/>
          <w:color w:val="292c2f"/>
        </w:rPr>
        <w:t xml:space="preserve">ых данных» по адресу </w:t>
      </w:r>
      <w:hyperlink r:id="rId165" w:tooltip="https://nspd.gov.ru/" w:history="1">
        <w:r>
          <w:rPr>
            <w:b w:val="0"/>
            <w:bCs w:val="0"/>
            <w:color w:val="292c2f"/>
          </w:rPr>
          <w:t xml:space="preserve">https://nspd.gov.ru</w:t>
        </w:r>
      </w:hyperlink>
      <w:r>
        <w:rPr>
          <w:b w:val="0"/>
          <w:bCs w:val="0"/>
          <w:color w:val="292c2f"/>
        </w:rPr>
        <w:t xml:space="preserve">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За весь период действия программы из ранее выявленных земельных участков в оборот вовлечено 112 земельных участков для индивидуального жилищного и многоквартирного строительства общей площадью более 283 га.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Напоминаем, что предоставление выявленных сво</w:t>
      </w:r>
      <w:r>
        <w:rPr>
          <w:b w:val="0"/>
          <w:bCs w:val="0"/>
          <w:color w:val="292c2f"/>
        </w:rPr>
        <w:t xml:space="preserve">бодных земельных участков осуществляется в общем порядке, в соответствии с земельным законодательством.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21. </w:t>
      </w:r>
      <w:r>
        <w:rPr>
          <w:b/>
          <w:bCs/>
          <w:color w:val="292c2f"/>
        </w:rPr>
        <w:t xml:space="preserve">Сенатор региона посетил новосибирский Росреестр.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 w:val="0"/>
          <w:bCs w:val="0"/>
          <w:color w:val="292c2f"/>
        </w:rPr>
        <w:t xml:space="preserve">В минувшую пятницу в Управлении Росреестра по Новосибирской области прошла рабочая встреча руководителя Управления</w:t>
      </w:r>
      <w:r>
        <w:rPr>
          <w:b w:val="0"/>
          <w:bCs w:val="0"/>
          <w:color w:val="292c2f"/>
        </w:rPr>
        <w:t xml:space="preserve"> Светланы Рягузовой </w:t>
      </w:r>
      <w:r>
        <w:rPr>
          <w:b w:val="0"/>
          <w:bCs w:val="0"/>
          <w:color w:val="292c2f"/>
        </w:rPr>
        <w:t xml:space="preserve">с сенатором Российской Федерации по Новосибирской области, первым заместителем председателя Комитета Совета Федерации по федеральному устройству, региональной политике, местному самоуправлению и делам Севера </w:t>
      </w:r>
      <w:r>
        <w:rPr>
          <w:b w:val="0"/>
          <w:bCs w:val="0"/>
          <w:color w:val="292c2f"/>
        </w:rPr>
        <w:t xml:space="preserve">Владимиром Городецким</w:t>
      </w:r>
      <w:r>
        <w:rPr>
          <w:b w:val="0"/>
          <w:bCs w:val="0"/>
          <w:color w:val="292c2f"/>
        </w:rPr>
        <w:t xml:space="preserve">.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Светлана Евгеньевна рассказала о важных направлениях деятельности Росреестра, совместных проектах новосибирского Росреестра с региональными и местными органами власти, профессиональными участниками рынка недвижимости.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«В приоритете ведомства – соблюдение принципов клиентоцентричности при оказании услуг, принятие превентивных мер в сфере контрольно-надзорной деятельности, реализация государственной программы Российской Федерации «Национальная система пространственных дан</w:t>
      </w:r>
      <w:r>
        <w:rPr>
          <w:b w:val="0"/>
          <w:bCs w:val="0"/>
          <w:color w:val="292c2f"/>
        </w:rPr>
        <w:t xml:space="preserve">ных»</w:t>
      </w:r>
      <w:r>
        <w:rPr>
          <w:b w:val="0"/>
          <w:bCs w:val="0"/>
          <w:color w:val="292c2f"/>
        </w:rPr>
        <w:t xml:space="preserve">, - сообщила </w:t>
      </w:r>
      <w:r>
        <w:rPr>
          <w:b w:val="0"/>
          <w:bCs w:val="0"/>
          <w:color w:val="292c2f"/>
        </w:rPr>
        <w:t xml:space="preserve">Светлана Рягузова</w:t>
      </w:r>
      <w:r>
        <w:rPr>
          <w:b w:val="0"/>
          <w:bCs w:val="0"/>
          <w:color w:val="292c2f"/>
        </w:rPr>
        <w:t xml:space="preserve">.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регионе активно проводятся комплексные кадастровые работы, на которые в 2025 году выделено свыше 15 млн рублей из федерального, регионального и местного бюджетов, планируется уточнить границы 15 617 объектов недвижимости, исправить 3 740 реестровых о</w:t>
      </w:r>
      <w:r>
        <w:rPr>
          <w:b w:val="0"/>
          <w:bCs w:val="0"/>
          <w:color w:val="292c2f"/>
        </w:rPr>
        <w:t xml:space="preserve">шибок. Эффект от таких работ очевиден. Они способствуют улучшению градостроительной и земельной политики региона, обеспечению защиты собственников от земельных споров и мошеннических действий. Кроме того, комплексные кадастровые работы освобождают правообл</w:t>
      </w:r>
      <w:r>
        <w:rPr>
          <w:b w:val="0"/>
          <w:bCs w:val="0"/>
          <w:color w:val="292c2f"/>
        </w:rPr>
        <w:t xml:space="preserve">адателей от необходимости проведения кадастровых работ самостоятельно, а значит не требуют дополнительных финансовых затрат правообладателей.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Новосибирская область вошла в число регионов-лидеров по количеству выявленных объектов туристического интереса –</w:t>
      </w:r>
      <w:r>
        <w:rPr>
          <w:b w:val="0"/>
          <w:bCs w:val="0"/>
          <w:color w:val="292c2f"/>
        </w:rPr>
        <w:t xml:space="preserve"> 68. Проект «Земля для туризма» реализуется по решению Правительственной комиссии по региональному развитию. Работа в рамках проекта ведётся в тесном взаимодействии с Правительством региона.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Владимир Городецкий также ознакомился с результатами реализации</w:t>
      </w:r>
      <w:r>
        <w:rPr>
          <w:b w:val="0"/>
          <w:bCs w:val="0"/>
          <w:color w:val="292c2f"/>
        </w:rPr>
        <w:t xml:space="preserve"> социально-значимых проектов в регионе: «гаражная амнистия», «дачная амнистия», догазификация жилых домов в садовых некоммерческих товариществах.</w:t>
      </w:r>
      <w:r>
        <w:rPr>
          <w:b w:val="0"/>
          <w:bCs w:val="0"/>
          <w:color w:val="292c2f"/>
        </w:rPr>
        <w:t xml:space="preserve">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22. </w:t>
      </w:r>
      <w:r>
        <w:rPr>
          <w:b/>
          <w:bCs/>
          <w:color w:val="292c2f"/>
        </w:rPr>
        <w:t xml:space="preserve">«Регистрация за час в МФЦ» - проект Росреестра для жителей Новосибирска.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24 марта по 4 апреля 2025 года в Новосибирске прошла совместная акция Управления Росреестра и МФЦ - «Регистрация за час в МФЦ».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Горожане смогли зарегистрировать свои ранее возникшие права всего за один час.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«В регионе еще есть объекты, правообладател</w:t>
      </w:r>
      <w:r>
        <w:rPr>
          <w:b w:val="0"/>
          <w:bCs w:val="0"/>
          <w:color w:val="292c2f"/>
        </w:rPr>
        <w:t xml:space="preserve">и которых не внесли свои сведения о правах в Единый государственный реестр недвижимости, - говорит заместитель руководителя Управления Росреестра по Новосибирской области Наталья Ивчатова. - В основном, это объекты капитального строительства и земельные уч</w:t>
      </w:r>
      <w:r>
        <w:rPr>
          <w:b w:val="0"/>
          <w:bCs w:val="0"/>
          <w:color w:val="292c2f"/>
        </w:rPr>
        <w:t xml:space="preserve">астки, полученные до 31 января 1998 года. Совместный проект новосибирского Росреестра и МФЦ позволил гражданам без дополнительных временных затрат оперативно внести сведения о своих правах, а значит обеспечить защиту своего имущества от мошеннических дейст</w:t>
      </w:r>
      <w:r>
        <w:rPr>
          <w:b w:val="0"/>
          <w:bCs w:val="0"/>
          <w:color w:val="292c2f"/>
        </w:rPr>
        <w:t xml:space="preserve">вий».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акции минимальное время, затраченное на рассмотрение одного обращения, составило 15 минут, а среднее время на оказание одной услуги не превысило 30 минут.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Регистрация ранее возникшего права предоставляет собственнику: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– возможность полноп</w:t>
      </w:r>
      <w:r>
        <w:rPr>
          <w:b w:val="0"/>
          <w:bCs w:val="0"/>
          <w:color w:val="292c2f"/>
        </w:rPr>
        <w:t xml:space="preserve">равно распоряжаться имуществом. Например, при купле-продаже, дарении, ипотеке;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– защиту от мошеннических действий. Законодательством предусмотрен способ защиты в виде подачи заявления о невозможности государственной регистрации права без личного участия п</w:t>
      </w:r>
      <w:r>
        <w:rPr>
          <w:b w:val="0"/>
          <w:bCs w:val="0"/>
          <w:color w:val="292c2f"/>
        </w:rPr>
        <w:t xml:space="preserve">равообладателя, но такой защитой могут воспользоваться только те собственники, чьи права зарегистрированы в Едином государственном реестре недвижимости (ЕГРН);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– возможность получать выписки из ЕГРН о наличии собственности в случае необходимости подтвержд</w:t>
      </w:r>
      <w:r>
        <w:rPr>
          <w:b w:val="0"/>
          <w:bCs w:val="0"/>
          <w:color w:val="292c2f"/>
        </w:rPr>
        <w:t xml:space="preserve">ения актуальности своих прав.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Управление Росреестра по Новосибирской области и МФЦ планируют проводить акцию ежеквартально, следите за нашими новостями в социальных сетях: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ВК: vk.com/rosreestr_nsk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Одноклассники: ok.ru/rosree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ТГ-канал: t.me/rosreestr_nsk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23. </w:t>
      </w:r>
      <w:r>
        <w:rPr>
          <w:b/>
          <w:bCs/>
          <w:color w:val="292c2f"/>
        </w:rPr>
        <w:t xml:space="preserve">Что важно знать о комплексных кадастровых работах.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2025 году на территории 12 муниципальных образований Новосибирской области проведут комплексные кадастровые работы.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«Результатами комплексных кадастровых работ станут установление точных границ земельных участков, местоположения зданий, сооружений, объектов незавершенного строительства на земельных участках, а также исправление имеющихся реестровых ошибок»</w:t>
      </w:r>
      <w:r>
        <w:rPr>
          <w:b w:val="0"/>
          <w:bCs w:val="0"/>
          <w:color w:val="292c2f"/>
        </w:rPr>
        <w:t xml:space="preserve">, - сообщила заместитель руководителя Управления Росреестра по Новосибирской области </w:t>
      </w:r>
      <w:r>
        <w:rPr>
          <w:b w:val="0"/>
          <w:bCs w:val="0"/>
          <w:color w:val="292c2f"/>
        </w:rPr>
        <w:t xml:space="preserve">Наталья Ивчатова.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На территории области комплексные кадастровые работы проводятся с 2021 года, благодаря их результатам в Единый государственный реестр недвижимости уже внесены уточненные сведения о границах 34 тысячах объектов недвижимости, расположенных в более чем 400 ка</w:t>
      </w:r>
      <w:r>
        <w:rPr>
          <w:b w:val="0"/>
          <w:bCs w:val="0"/>
          <w:color w:val="292c2f"/>
        </w:rPr>
        <w:t xml:space="preserve">дастровых кварталах.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 2025 год выделено более 15 миллионов рублей из федерального, регионального и местного бюджетов, планируется уточнить границы свыше 15,5 тысяч объектов недвижимости, исправить 3,7 тысяч реестровых ошибок.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«Точные и достоверные сведения о границах объектов недвижимости в Едином государственном реестре недвижимости защищают законные интересы их правообладателей, исключая причины возникновения имущественных споров»</w:t>
      </w:r>
      <w:r>
        <w:rPr>
          <w:b w:val="0"/>
          <w:bCs w:val="0"/>
          <w:color w:val="292c2f"/>
        </w:rPr>
        <w:t xml:space="preserve">, - отметила </w:t>
      </w:r>
      <w:r>
        <w:rPr>
          <w:b w:val="0"/>
          <w:bCs w:val="0"/>
          <w:color w:val="292c2f"/>
        </w:rPr>
        <w:t xml:space="preserve">Любовь Храмцова,</w:t>
      </w:r>
      <w:r>
        <w:rPr>
          <w:b w:val="0"/>
          <w:bCs w:val="0"/>
          <w:color w:val="292c2f"/>
        </w:rPr>
        <w:t xml:space="preserve"> начальник управления по имуществу и земельным отношениям администрации Искитимского района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Работы запланированы на территории г. Карасука, г. Бердска и г. Искитима, а также Венгеровского, Искитимского, Каргатского, Колыванского, Ко</w:t>
      </w:r>
      <w:r>
        <w:rPr>
          <w:b w:val="0"/>
          <w:bCs w:val="0"/>
          <w:color w:val="292c2f"/>
        </w:rPr>
        <w:t xml:space="preserve">ченевского, Мошковского, Ордынского, Тогучинского и Черепановского районов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перечнем кадастровых кварталов, сроками проведения работ можно ознакомиться на официальный сайтах органов местного самоуправления, официальном сайте Росрее</w:t>
      </w:r>
      <w:r>
        <w:rPr>
          <w:b w:val="0"/>
          <w:bCs w:val="0"/>
          <w:color w:val="292c2f"/>
        </w:rPr>
        <w:t xml:space="preserve">стра и сайте ППК «Роскадастр».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Правообладатели не должны препятствовать выполнению комплексных кадастровых работ и обязаны обеспечить доступ к объектам недвижимости. Рекомендуем собственникам проверять документы специалистов, выполняющих работы, чтобы не </w:t>
      </w:r>
      <w:r>
        <w:rPr>
          <w:b w:val="0"/>
          <w:bCs w:val="0"/>
          <w:color w:val="292c2f"/>
        </w:rPr>
        <w:t xml:space="preserve">стать жертвой мошеннических действий.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Рекомендуем также внести или актуализировать в Едином государственном реестре недвижимости сведения об адресе электронной почты и (или) почтовом адресе. Подать заявление можно в любом офисе МФЦ или в личном кабинете н</w:t>
      </w:r>
      <w:r>
        <w:rPr>
          <w:b w:val="0"/>
          <w:bCs w:val="0"/>
          <w:color w:val="292c2f"/>
        </w:rPr>
        <w:t xml:space="preserve">а официальном сайте Росреестра. Контактные данные используются для связи с правообладателем с целью уведомления о завершении подготовки проекта карты-плана территории и проведении заседания согласительной комиссии по вопросу согласования местоположения гра</w:t>
      </w:r>
      <w:r>
        <w:rPr>
          <w:b w:val="0"/>
          <w:bCs w:val="0"/>
          <w:color w:val="292c2f"/>
        </w:rPr>
        <w:t xml:space="preserve">ниц земельных участков. Информация о заседании комиссии также размещается на официальных сайтах администрации органа местного самоуправления, Росреестра, Департамента имущества и земельных отношений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 территории региона в 2025 году</w:t>
      </w:r>
      <w:r>
        <w:rPr>
          <w:b w:val="0"/>
          <w:bCs w:val="0"/>
          <w:color w:val="292c2f"/>
        </w:rPr>
        <w:t xml:space="preserve"> комплексные кадастровые работы проводят филиал ППК «Роскадастр» по Новосибирской области и филиал ППК «Роскадастр» «ПО Инжгеодезия». При этом филиал ППК «Роскадастр» «ПО Инжгеодезия» проводит такие работы не только на территории Новосибирской области, но </w:t>
      </w:r>
      <w:r>
        <w:rPr>
          <w:b w:val="0"/>
          <w:bCs w:val="0"/>
          <w:color w:val="292c2f"/>
        </w:rPr>
        <w:t xml:space="preserve">и еще в четырех регионах Сибири: в Кемеровской области – Кузбассе, в Омской области, в Алтайском крае и в Республике Алтай. Первые аэрофотосъемочные работы с применением беспилотных воздушных судов уже проведены филиалом в Черепановском и Коченевском район</w:t>
      </w:r>
      <w:r>
        <w:rPr>
          <w:b w:val="0"/>
          <w:bCs w:val="0"/>
          <w:color w:val="292c2f"/>
        </w:rPr>
        <w:t xml:space="preserve">ах Новосибирской области.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24. </w:t>
      </w:r>
      <w:r>
        <w:rPr>
          <w:b/>
          <w:bCs/>
          <w:color w:val="292c2f"/>
        </w:rPr>
        <w:t xml:space="preserve">Новосибирский Росреестр для граждан: бесплатная правовая помощь в зоопарке.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Управление Росреестра по Новосибирской области в очередной раз приняло участие в акции, организуемой Новосибирским зоопарком имени Р.А. Шило для старшего поколения.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рамках мероприятия 1 и 8 апреля специалисты регионального Росреестра ответили на вопро</w:t>
      </w:r>
      <w:r>
        <w:rPr>
          <w:b w:val="0"/>
          <w:bCs w:val="0"/>
          <w:color w:val="292c2f"/>
        </w:rPr>
        <w:t xml:space="preserve">сы новосибирцев, связанные с регистрацией недвижимости.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Больше всего граждан интересовал порядок регистрации земельных участков и домов, расположенных на них, в связи с изменениями законодательства относительно установления границ земельных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 1</w:t>
      </w:r>
      <w:r>
        <w:rPr>
          <w:b w:val="0"/>
          <w:bCs w:val="0"/>
          <w:color w:val="292c2f"/>
        </w:rPr>
        <w:t xml:space="preserve"> марта 2025 года сделка с земельным участком возможна, если в Едином государственном реестре недвижимости (ЕГРН) есть сведения о местоположении его границ. Это относится и к расположенной на нем недвижимости - нельзя будет поставить на кадастровый учет или</w:t>
      </w:r>
      <w:r>
        <w:rPr>
          <w:b w:val="0"/>
          <w:bCs w:val="0"/>
          <w:color w:val="292c2f"/>
        </w:rPr>
        <w:t xml:space="preserve"> оформить права на дома и сооружения на участке без учтенных границ.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Публикуем ответы на наиболее часто задаваемые вопросы.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Зачем уточнять границы участков?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Уточнение границ может исправить возможные ошибки, в том числе относительно фактически используемой площади. Ошибочные сведения о площади участка могут стать причиной неверного определения его кадастровой стоимости и, как следствие, неверного определения р</w:t>
      </w:r>
      <w:r>
        <w:rPr>
          <w:b w:val="0"/>
          <w:bCs w:val="0"/>
          <w:color w:val="292c2f"/>
        </w:rPr>
        <w:t xml:space="preserve">азмера земельного налога.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Важно внести в ЕГРН сведения о границах и для планируемого строительства - чтобы дом не оказался на чужом участке.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Как проверить, внесены ли в ЕГРН границы земельного участка?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Можно воспользоваться публичной кадастровой картой Росреестра (</w:t>
      </w:r>
      <w:hyperlink r:id="rId166" w:tooltip="https://nspd.gov.ru/" w:history="1">
        <w:r>
          <w:rPr>
            <w:b w:val="0"/>
            <w:bCs w:val="0"/>
            <w:color w:val="292c2f"/>
          </w:rPr>
          <w:t xml:space="preserve">https://nspd.gov.ru/</w:t>
        </w:r>
      </w:hyperlink>
      <w:r>
        <w:rPr>
          <w:b w:val="0"/>
          <w:bCs w:val="0"/>
          <w:color w:val="292c2f"/>
        </w:rPr>
        <w:t xml:space="preserve">), которая доступна всем желающим бесплатно. Поиск осуществляется и по кадастровому номеру или адресу.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Сведения о местоположении границ участка также указываются в выписке из ЕГРН. Ее можно заказать в электронном виде на портале Госуслуг, в личном кабинет</w:t>
      </w:r>
      <w:r>
        <w:rPr>
          <w:b w:val="0"/>
          <w:bCs w:val="0"/>
          <w:color w:val="292c2f"/>
        </w:rPr>
        <w:t xml:space="preserve">е правообладателя на официальном сайте Росреестра и ППК «Роскадастр». Выписку из ЕГРН на бумажном носителе можно запросить в любом офисе МФЦ.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Что делать, если границы участка не уточнены, а документы в Росреестр уже сдали?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Отсутствие в ЕГРН сведений о границах является основанием для приостановления регистрационных действий в отношении земельного участка и расположенного на нем дома или сооружения, документы на который подали в Росреестр. Если в срок течения приостановления </w:t>
      </w:r>
      <w:r>
        <w:rPr>
          <w:b w:val="0"/>
          <w:bCs w:val="0"/>
          <w:color w:val="292c2f"/>
        </w:rPr>
        <w:t xml:space="preserve">границы участка не будут внесены - в регистрации будет отказано.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Как внести в ЕГРН границы земельного участка?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</w:rPr>
        <w:t xml:space="preserve">Сведения о границах участков вносятся в ЕГРН на основании межевого плана и заявления правообладателя участка. Межевой план готовит кадастровый инженер после проведения необходимых работ на местности. При уточнении границ участка необходимо также проводить </w:t>
      </w:r>
      <w:r>
        <w:rPr>
          <w:b w:val="0"/>
          <w:bCs w:val="0"/>
          <w:color w:val="292c2f"/>
        </w:rPr>
        <w:t xml:space="preserve">согласование уточненного местоположения границ с владельцами смежных земельных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Необходимость уточнения границ обеспечивает гарантии прав новых правообладателей земельных участков, защищает их от возможных проблем с определением местоположения гр</w:t>
      </w:r>
      <w:r>
        <w:rPr>
          <w:b w:val="0"/>
          <w:bCs w:val="0"/>
          <w:color w:val="292c2f"/>
        </w:rPr>
        <w:t xml:space="preserve">аниц и от несанкционированного занятия участков.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ind w:firstLine="0"/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25. </w:t>
      </w:r>
      <w:r>
        <w:rPr>
          <w:b/>
          <w:bCs/>
          <w:color w:val="292c2f"/>
        </w:rPr>
        <w:t xml:space="preserve">Электронная картографическая основа Новосибирской области создана на 95%.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Сегодня пространственные данные об объектах недвижимости, геодезические, картографические, топографические, гидрографические, аэрокосмосъемочные материалы собраны на Единой цифровой платформе «Национальная система пространственных данных».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Картографическо</w:t>
      </w:r>
      <w:r>
        <w:rPr>
          <w:b w:val="0"/>
          <w:bCs w:val="0"/>
          <w:color w:val="292c2f"/>
        </w:rPr>
        <w:t xml:space="preserve">й основой НСПД является Единая электронная картографическая основа, представляющая совокупность пространственных данных в виде цифровых топографических карт (планов) и цифровых ортофотопланов различных масштабов.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Новосибирской области Единая электронна</w:t>
      </w:r>
      <w:r>
        <w:rPr>
          <w:b w:val="0"/>
          <w:bCs w:val="0"/>
          <w:color w:val="292c2f"/>
        </w:rPr>
        <w:t xml:space="preserve">я картографическая основа создана на 95% территории.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Внедрение НСПД стало инструментом управления земельными ресурсами, источником полных и точных пространственных данных, интегрированных, в том числе, с данными дистанционного зондирования Земли из космос</w:t>
      </w:r>
      <w:r>
        <w:rPr>
          <w:b w:val="0"/>
          <w:bCs w:val="0"/>
          <w:color w:val="292c2f"/>
        </w:rPr>
        <w:t xml:space="preserve">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Многое, с чем мы сталкиваемся ежедневно, стало возможным за счет освоения космоса.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Ежегодно 12 апреля в России отмечается </w:t>
      </w:r>
      <w:r>
        <w:rPr>
          <w:b w:val="0"/>
          <w:bCs w:val="0"/>
          <w:color w:val="292c2f"/>
        </w:rPr>
        <w:t xml:space="preserve">День космонавтики.</w:t>
      </w:r>
      <w:r>
        <w:rPr>
          <w:b w:val="0"/>
          <w:bCs w:val="0"/>
          <w:color w:val="292c2f"/>
        </w:rPr>
        <w:t xml:space="preserve"> Праздник был учрежден в 1962 году в честь первого полета человека в космос. История освоения космоса - это героическая часть судьбы нашей страны. Этот праздник символизирует достижения человечества в сфере космических исследований.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</w:t>
      </w:r>
      <w:r>
        <w:rPr>
          <w:b/>
          <w:bCs/>
          <w:color w:val="292c2f"/>
        </w:rPr>
        <w:t xml:space="preserve">6. </w:t>
      </w:r>
      <w:r>
        <w:rPr>
          <w:b/>
          <w:bCs/>
          <w:color w:val="292c2f"/>
        </w:rPr>
        <w:t xml:space="preserve">Ранее учтенные объекты должны обрести границы.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 w:val="0"/>
          <w:bCs w:val="0"/>
          <w:color w:val="292c2f"/>
        </w:rPr>
        <w:t xml:space="preserve">Весной этого года правообладателей недвижимости затронул ряд нововведений.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Помимо запрета совершения сделки с «неотмежеванным» земельным участком и оформления прав на строения, расположенные на таком участке -оформить ранее учтенный объект недвижимости, к</w:t>
      </w:r>
      <w:r>
        <w:rPr>
          <w:b w:val="0"/>
          <w:bCs w:val="0"/>
          <w:color w:val="292c2f"/>
        </w:rPr>
        <w:t xml:space="preserve">оторый не отражен в Едином государственном реестре недвижимости (ЕГРН), возможно только при наличии технического или межевого плана. Ранее предоставление указанных документов не требовалось.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Напомним, что к ранее учтенным объектам недвижимости относятся з</w:t>
      </w:r>
      <w:r>
        <w:rPr>
          <w:b w:val="0"/>
          <w:bCs w:val="0"/>
          <w:color w:val="292c2f"/>
        </w:rPr>
        <w:t xml:space="preserve">емельные участки, государственный кадастровый учет которых произведен до 1 марта 2008 года, объекты капитального строительства (здания, сооружения, помещения, в том числе квартиры), технический учет которых осуществлен до 1 января 2013 года, а также земель</w:t>
      </w:r>
      <w:r>
        <w:rPr>
          <w:b w:val="0"/>
          <w:bCs w:val="0"/>
          <w:color w:val="292c2f"/>
        </w:rPr>
        <w:t xml:space="preserve">ные участки и объекты капитального строительства, права на которые возникли до 31 января 1998 года.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Отсутствие технического или межевого плана является причиной для отказа во внесении сведений об объектах в ЕГРН.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Новосибирский Росреестр рекомендует гражд</w:t>
      </w:r>
      <w:r>
        <w:rPr>
          <w:b w:val="0"/>
          <w:bCs w:val="0"/>
          <w:color w:val="292c2f"/>
        </w:rPr>
        <w:t xml:space="preserve">анам проверить документы на недвижимость, обратить особое внимание на их даты. Если документ о собственности выдан до 1998 года, есть вероятность, что принадлежащий Вам объект недвижимости не учтен в ЕГРН, и сведения о Вашем праве отсутствуют в ЕГРН.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Подг</w:t>
      </w:r>
      <w:r>
        <w:rPr>
          <w:b w:val="0"/>
          <w:bCs w:val="0"/>
          <w:color w:val="292c2f"/>
        </w:rPr>
        <w:t xml:space="preserve">отовку межевых и технических планов осуществляют кадастровые инженеры. Выбрать кадастрового инженера можно на сайте Росреестра </w:t>
      </w:r>
      <w:hyperlink r:id="rId167" w:tooltip="https://rosreestr.gov.ru/" w:history="1">
        <w:r>
          <w:rPr>
            <w:b w:val="0"/>
            <w:bCs w:val="0"/>
            <w:color w:val="292c2f"/>
          </w:rPr>
          <w:t xml:space="preserve">https://rosreestr.gov.ru/</w:t>
        </w:r>
      </w:hyperlink>
      <w:r>
        <w:rPr>
          <w:b w:val="0"/>
          <w:bCs w:val="0"/>
          <w:color w:val="292c2f"/>
        </w:rPr>
        <w:t xml:space="preserve"> в сервисе «Реестр кадастровых инженеров».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:highlight w:val="none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  <w:t xml:space="preserve">27. </w:t>
      </w:r>
      <w:r>
        <w:rPr>
          <w:b/>
          <w:bCs/>
          <w:color w:val="292c2f"/>
        </w:rPr>
        <w:t xml:space="preserve">Наименования населенных пунктов на дорожных указателях под контролем Росреестра.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 w:val="0"/>
          <w:bCs w:val="0"/>
          <w:color w:val="292c2f"/>
        </w:rPr>
        <w:t xml:space="preserve">Управление Росреестра по Новосибирской области осуществляет федеральный государственный контроль (надзор) в области геодезии и картографии, в том числе за соблюдением употребления наименований географических объектов на дорожных знаках и иных указателях на</w:t>
      </w:r>
      <w:r>
        <w:rPr>
          <w:b w:val="0"/>
          <w:bCs w:val="0"/>
          <w:color w:val="292c2f"/>
        </w:rPr>
        <w:t xml:space="preserve"> территории региона.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2024 году специалистами новосибирского Росреестра проверен 231 дорожный указатель на дорогах общего пользования в Барабинском, Куйбышевском, Кыштовском, Новосибирском, Ордынском, Северном, Сузунском, Татарском, Усть-Таркском, Черепа</w:t>
      </w:r>
      <w:r>
        <w:rPr>
          <w:b w:val="0"/>
          <w:bCs w:val="0"/>
          <w:color w:val="292c2f"/>
        </w:rPr>
        <w:t xml:space="preserve">новском районах. Было выявлено 13 фактов неверного написания наименований населенных пунктов.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2025 году уже проверено 174 дорожных указателя в Барабинском, Венгеровском, Кыштовском, Татарском и Чановском районах и выявлено 5 искаженных наименований.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На</w:t>
      </w:r>
      <w:r>
        <w:rPr>
          <w:b w:val="0"/>
          <w:bCs w:val="0"/>
          <w:color w:val="292c2f"/>
        </w:rPr>
        <w:t xml:space="preserve">пример, на дорожном указателе к поселку Среднеичинский в Северном районе было написано «Среднеичинск», к деревне Новотроицк в Татарском районе - «Первоновотроицк», а село Гусиный Брод в Новосибирском районе было обозначено как «Гусинный Брод».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 всем выя</w:t>
      </w:r>
      <w:r>
        <w:rPr>
          <w:b w:val="0"/>
          <w:bCs w:val="0"/>
          <w:color w:val="292c2f"/>
        </w:rPr>
        <w:t xml:space="preserve">вленным фактам Управлением Росреестра были выданы предостережения о недопустимости нарушения обязательных требований и ошибки на дорожных указателях у села Гусиный Брод и других населенных пунктов исправлены.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В соответствии с действующим законодательством</w:t>
      </w:r>
      <w:r>
        <w:rPr>
          <w:b w:val="0"/>
          <w:bCs w:val="0"/>
          <w:color w:val="292c2f"/>
        </w:rPr>
        <w:t xml:space="preserve"> о географических наименованиях наименования географических объектов как составная часть исторического и культурного наследия народов Российской Федерации охраняются государством, произвольная замена одних наименований географических объектов другими, упот</w:t>
      </w:r>
      <w:r>
        <w:rPr>
          <w:b w:val="0"/>
          <w:bCs w:val="0"/>
          <w:color w:val="292c2f"/>
        </w:rPr>
        <w:t xml:space="preserve">ребление искаженных наименований географических объектов не допускаются.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обеспечения единообразного употребления наименований географических объектов, которые указываются на картах, дорожных указателях, в документах, учебных изданиях, создан Государст</w:t>
      </w:r>
      <w:r>
        <w:rPr>
          <w:b w:val="0"/>
          <w:bCs w:val="0"/>
          <w:color w:val="292c2f"/>
        </w:rPr>
        <w:t xml:space="preserve">венный каталог географических названий (ГКГН).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ГКГН размещен на официальном сайте Публично-правовой компании «Роскадастр» в разделе «Сервисы и услуги» / «Государственный каталог географических названий» (</w:t>
      </w:r>
      <w:hyperlink r:id="rId168" w:tooltip="https://kadastr.ru/services/gosudarstvennyy-katalog-geograficheskikh-nazvaniy/" w:history="1">
        <w:r>
          <w:rPr>
            <w:b w:val="0"/>
            <w:bCs w:val="0"/>
            <w:color w:val="292c2f"/>
          </w:rPr>
          <w:t xml:space="preserve">https://kadastr.ru/services/gosudarstvennyy-katalog-geograficheskikh-nazvaniy/</w:t>
        </w:r>
      </w:hyperlink>
      <w:r>
        <w:rPr>
          <w:b w:val="0"/>
          <w:bCs w:val="0"/>
          <w:color w:val="292c2f"/>
        </w:rPr>
        <w:t xml:space="preserve">)</w:t>
      </w:r>
      <w:r>
        <w:t xml:space="preserve">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/>
          <w:bCs/>
          <w:color w:val="292c2f"/>
        </w:rPr>
        <w:t xml:space="preserve">28. </w:t>
      </w:r>
      <w:r>
        <w:rPr>
          <w:b/>
          <w:bCs/>
          <w:color w:val="292c2f"/>
        </w:rPr>
        <w:t xml:space="preserve">О взаимодействии с органами местного самоуправления.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</w:rPr>
      </w:r>
      <w:r>
        <w:rPr>
          <w:b w:val="0"/>
          <w:bCs w:val="0"/>
          <w:color w:val="292c2f"/>
        </w:rPr>
        <w:t xml:space="preserve">Ежегодно 21 апреля в России отмечается День местного самоуправления.</w:t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Органы местного самоуправления наделены широким кругом полномочий по решению задач в различных сферах жизнедеятельности муниципального образования.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Ряд важнейших вопросов решается при взаимодействии с Росреестром.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Регистрация права муниципальной собственности, распоряжение муниципальным имуществом, оформление ранее возникших прав, выявление правообладателей ранее учтенных объектов недвижимости, проведение комплексных кадастровых работ, внесение в Единый государствен</w:t>
      </w:r>
      <w:r>
        <w:rPr>
          <w:b w:val="0"/>
          <w:bCs w:val="0"/>
          <w:color w:val="292c2f"/>
        </w:rPr>
        <w:t xml:space="preserve">ный реестр недвижимости (ЕГРН) сведений о границах населенных пунктов, территориальных зон, наполнение ЕГРН сведениями о категории земель и разрешенном использовании земельных участков - основные точки соприкосновения деятельности ведомства и местных админ</w:t>
      </w:r>
      <w:r>
        <w:rPr>
          <w:b w:val="0"/>
          <w:bCs w:val="0"/>
          <w:color w:val="292c2f"/>
        </w:rPr>
        <w:t xml:space="preserve">истраций.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Приоритетное направление взаимодействия – реализация государственной программы «Национальная система пространственных данных».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Для повышения качества оказания государственных и муниципальных услуг Управление Росреестра по Новосибирской области на постоянной основе проводит рабочие встречи с органами местного самоуправления по вопросам изменения законодательства и правоприменительн</w:t>
      </w:r>
      <w:r>
        <w:rPr>
          <w:b w:val="0"/>
          <w:bCs w:val="0"/>
          <w:color w:val="292c2f"/>
        </w:rPr>
        <w:t xml:space="preserve">ой практики.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Практические советы по оформлению и предоставлению электронных документов специалисты местных администраций получают в Школе электронных услуг новосибирского Росреестра.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100 % заявлений органов местного самоуправления об осуществлении учетно-регистрационных действий поступают в электронном виде. С начала года в Управление поступило свыше 9000 заявлений органов местного самоуправления об осуществлении учетно-регистрационных</w:t>
      </w:r>
      <w:r>
        <w:rPr>
          <w:b w:val="0"/>
          <w:bCs w:val="0"/>
          <w:color w:val="292c2f"/>
        </w:rPr>
        <w:t xml:space="preserve"> действий.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Средний срок электронной регистрации на недвижимость не превышает одного рабочего дня.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Работа непосредственно с местными жителями, многозадачность и открытость деятельности требуют от работников органов местного самоуправления широкого спектра знаний, постоянного самоконтроля, высокого уровня ответственности и социальной ориентированности.  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  <w:t xml:space="preserve">Поздравляем коллег с праздником! Желаем успешной реализации поставленных задач, благополучия и процветания.</w:t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 w:val="0"/>
          <w:bCs w:val="0"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292c2f"/>
        </w:rPr>
      </w:r>
      <w:r>
        <w:rPr>
          <w:b w:val="0"/>
          <w:bCs w:val="0"/>
          <w:color w:val="292c2f"/>
          <w14:ligatures w14:val="none"/>
        </w:rPr>
      </w:r>
      <w:r>
        <w:rPr>
          <w:b w:val="0"/>
          <w:bCs w:val="0"/>
          <w:color w:val="292c2f"/>
          <w14:ligatures w14:val="none"/>
        </w:rPr>
      </w:r>
    </w:p>
    <w:p>
      <w:pPr>
        <w:rPr>
          <w:b/>
          <w:bCs/>
          <w:color w:val="292c2f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color w:val="292c2f"/>
          <w14:ligatures w14:val="none"/>
        </w:rPr>
      </w:r>
      <w:r>
        <w:rPr>
          <w:b/>
          <w:bCs/>
          <w:color w:val="292c2f"/>
          <w14:ligatures w14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Sans">
    <w:panose1 w:val="020B0503020203020204"/>
  </w:font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Roboto">
    <w:panose1 w:val="02000000000000000000"/>
  </w:font>
  <w:font w:name="Calibri Light">
    <w:panose1 w:val="020F0502020204030204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37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11"/>
      <w:jc w:val="center"/>
      <w:rPr>
        <w:color w:val="auto"/>
        <w:highlight w:val="none"/>
      </w:rPr>
    </w:pPr>
    <w:fldSimple w:instr="PAGE \* MERGEFORMAT">
      <w:r>
        <w:rPr>
          <w:color w:val="auto"/>
        </w:rPr>
        <w:t xml:space="preserve">1</w:t>
      </w:r>
    </w:fldSimple>
    <w:r>
      <w:rPr>
        <w:color w:val="auto"/>
      </w:rPr>
    </w:r>
    <w:r>
      <w:rPr>
        <w:color w:val="auto"/>
        <w:highlight w:val="none"/>
      </w:rPr>
    </w:r>
    <w:r>
      <w:rPr>
        <w:color w:val="auto"/>
        <w:highlight w:val="none"/>
      </w:rPr>
    </w:r>
  </w:p>
  <w:p>
    <w:pPr>
      <w:pStyle w:val="1311"/>
      <w:jc w:val="center"/>
    </w:pPr>
    <w:r>
      <w:rPr>
        <w:color w:val="auto"/>
        <w:highlight w:val="none"/>
      </w:rPr>
    </w:r>
    <w:r>
      <w:rPr>
        <w:color w:val="auto"/>
        <w:highlight w:val="none"/>
      </w:rPr>
    </w:r>
    <w:r/>
  </w:p>
  <w:p>
    <w:pPr>
      <w:pStyle w:val="1311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311"/>
      <w:jc w:val="center"/>
      <w:rPr>
        <w:color w:val="ffffff" w:themeColor="background1"/>
      </w:rPr>
    </w:pPr>
    <w:fldSimple w:instr="PAGE \* MERGEFORMAT">
      <w:r>
        <w:rPr>
          <w:color w:val="ffffff" w:themeColor="background1"/>
        </w:rPr>
        <w:t xml:space="preserve">1</w:t>
      </w:r>
    </w:fldSimple>
    <w:r>
      <w:rPr>
        <w:color w:val="ffffff" w:themeColor="background1"/>
      </w:rPr>
    </w:r>
    <w:r>
      <w:rPr>
        <w:color w:val="ffffff" w:themeColor="background1"/>
      </w:rPr>
    </w:r>
    <w:r>
      <w:rPr>
        <w:color w:val="ffffff" w:themeColor="background1"/>
      </w:rPr>
    </w:r>
  </w:p>
  <w:p>
    <w:pPr>
      <w:pStyle w:val="1311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2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">
    <w:multiLevelType w:val="hybridMultilevel"/>
    <w:lvl w:ilvl="0">
      <w:start w:val="10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4" w:hanging="46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rFonts w:hint="default"/>
        <w:color w:val="auto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5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0">
    <w:multiLevelType w:val="hybridMultilevel"/>
    <w:lvl w:ilvl="0">
      <w:start w:val="19"/>
      <w:numFmt w:val="decimal"/>
      <w:isLgl w:val="false"/>
      <w:suff w:val="tab"/>
      <w:lvlText w:val="%1."/>
      <w:lvlJc w:val="left"/>
      <w:pPr>
        <w:ind w:left="1084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eastAsia="Times New Roman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15" w:hanging="615"/>
      </w:pPr>
    </w:lvl>
    <w:lvl w:ilvl="1">
      <w:start w:val="1"/>
      <w:numFmt w:val="decimal"/>
      <w:isLgl w:val="false"/>
      <w:suff w:val="tab"/>
      <w:lvlText w:val="%2."/>
      <w:lvlJc w:val="left"/>
      <w:pPr>
        <w:ind w:left="1951" w:hanging="720"/>
      </w:pPr>
      <w:rPr>
        <w:rFonts w:ascii="Times New Roman" w:hAnsi="Times New Roman" w:eastAsia="Calibri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18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4773" w:hanging="108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6004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7595" w:hanging="144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9186" w:hanging="180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0417" w:hanging="180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2008" w:hanging="216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63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num w:numId="1">
    <w:abstractNumId w:val="8"/>
  </w:num>
  <w:num w:numId="2">
    <w:abstractNumId w:val="26"/>
  </w:num>
  <w:num w:numId="3">
    <w:abstractNumId w:val="30"/>
  </w:num>
  <w:num w:numId="4">
    <w:abstractNumId w:val="16"/>
  </w:num>
  <w:num w:numId="5">
    <w:abstractNumId w:val="28"/>
  </w:num>
  <w:num w:numId="6">
    <w:abstractNumId w:val="21"/>
  </w:num>
  <w:num w:numId="7">
    <w:abstractNumId w:val="17"/>
  </w:num>
  <w:num w:numId="8">
    <w:abstractNumId w:val="14"/>
  </w:num>
  <w:num w:numId="9">
    <w:abstractNumId w:val="35"/>
  </w:num>
  <w:num w:numId="10">
    <w:abstractNumId w:val="19"/>
  </w:num>
  <w:num w:numId="11">
    <w:abstractNumId w:val="11"/>
  </w:num>
  <w:num w:numId="12">
    <w:abstractNumId w:val="33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24"/>
  </w:num>
  <w:num w:numId="18">
    <w:abstractNumId w:val="25"/>
  </w:num>
  <w:num w:numId="19">
    <w:abstractNumId w:val="22"/>
  </w:num>
  <w:num w:numId="20">
    <w:abstractNumId w:val="20"/>
  </w:num>
  <w:num w:numId="21">
    <w:abstractNumId w:val="31"/>
  </w:num>
  <w:num w:numId="22">
    <w:abstractNumId w:val="32"/>
  </w:num>
  <w:num w:numId="23">
    <w:abstractNumId w:val="2"/>
  </w:num>
  <w:num w:numId="24">
    <w:abstractNumId w:val="10"/>
  </w:num>
  <w:num w:numId="25">
    <w:abstractNumId w:val="6"/>
  </w:num>
  <w:num w:numId="26">
    <w:abstractNumId w:val="13"/>
  </w:num>
  <w:num w:numId="27">
    <w:abstractNumId w:val="7"/>
  </w:num>
  <w:num w:numId="28">
    <w:abstractNumId w:val="23"/>
  </w:num>
  <w:num w:numId="29">
    <w:abstractNumId w:val="4"/>
  </w:num>
  <w:num w:numId="30">
    <w:abstractNumId w:val="34"/>
  </w:num>
  <w:num w:numId="31">
    <w:abstractNumId w:val="29"/>
  </w:num>
  <w:num w:numId="32">
    <w:abstractNumId w:val="27"/>
  </w:num>
  <w:num w:numId="33">
    <w:abstractNumId w:val="15"/>
  </w:num>
  <w:num w:numId="34">
    <w:abstractNumId w:val="9"/>
  </w:num>
  <w:num w:numId="35">
    <w:abstractNumId w:val="0"/>
  </w:num>
  <w:num w:numId="36">
    <w:abstractNumId w:val="18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133">
    <w:name w:val="Heading 1 Char"/>
    <w:basedOn w:val="1304"/>
    <w:link w:val="1301"/>
    <w:uiPriority w:val="9"/>
    <w:rPr>
      <w:rFonts w:ascii="Arial" w:hAnsi="Arial" w:eastAsia="Arial" w:cs="Arial"/>
      <w:sz w:val="40"/>
      <w:szCs w:val="40"/>
    </w:rPr>
  </w:style>
  <w:style w:type="character" w:styleId="1134">
    <w:name w:val="Heading 2 Char"/>
    <w:basedOn w:val="1304"/>
    <w:link w:val="1302"/>
    <w:uiPriority w:val="9"/>
    <w:rPr>
      <w:rFonts w:ascii="Arial" w:hAnsi="Arial" w:eastAsia="Arial" w:cs="Arial"/>
      <w:sz w:val="34"/>
    </w:rPr>
  </w:style>
  <w:style w:type="character" w:styleId="1135">
    <w:name w:val="Heading 3 Char"/>
    <w:basedOn w:val="1304"/>
    <w:link w:val="1303"/>
    <w:uiPriority w:val="9"/>
    <w:rPr>
      <w:rFonts w:ascii="Arial" w:hAnsi="Arial" w:eastAsia="Arial" w:cs="Arial"/>
      <w:sz w:val="30"/>
      <w:szCs w:val="30"/>
    </w:rPr>
  </w:style>
  <w:style w:type="paragraph" w:styleId="1136">
    <w:name w:val="Heading 4"/>
    <w:basedOn w:val="1300"/>
    <w:next w:val="1300"/>
    <w:link w:val="1137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1137">
    <w:name w:val="Heading 4 Char"/>
    <w:basedOn w:val="1304"/>
    <w:link w:val="1136"/>
    <w:uiPriority w:val="9"/>
    <w:rPr>
      <w:rFonts w:ascii="Arial" w:hAnsi="Arial" w:eastAsia="Arial" w:cs="Arial"/>
      <w:b/>
      <w:bCs/>
      <w:sz w:val="26"/>
      <w:szCs w:val="26"/>
    </w:rPr>
  </w:style>
  <w:style w:type="paragraph" w:styleId="1138">
    <w:name w:val="Heading 5"/>
    <w:basedOn w:val="1300"/>
    <w:next w:val="1300"/>
    <w:link w:val="1139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1139">
    <w:name w:val="Heading 5 Char"/>
    <w:basedOn w:val="1304"/>
    <w:link w:val="1138"/>
    <w:uiPriority w:val="9"/>
    <w:rPr>
      <w:rFonts w:ascii="Arial" w:hAnsi="Arial" w:eastAsia="Arial" w:cs="Arial"/>
      <w:b/>
      <w:bCs/>
      <w:sz w:val="24"/>
      <w:szCs w:val="24"/>
    </w:rPr>
  </w:style>
  <w:style w:type="paragraph" w:styleId="1140">
    <w:name w:val="Heading 6"/>
    <w:basedOn w:val="1300"/>
    <w:next w:val="1300"/>
    <w:link w:val="1141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1141">
    <w:name w:val="Heading 6 Char"/>
    <w:basedOn w:val="1304"/>
    <w:link w:val="1140"/>
    <w:uiPriority w:val="9"/>
    <w:rPr>
      <w:rFonts w:ascii="Arial" w:hAnsi="Arial" w:eastAsia="Arial" w:cs="Arial"/>
      <w:b/>
      <w:bCs/>
      <w:sz w:val="22"/>
      <w:szCs w:val="22"/>
    </w:rPr>
  </w:style>
  <w:style w:type="paragraph" w:styleId="1142">
    <w:name w:val="Heading 7"/>
    <w:basedOn w:val="1300"/>
    <w:next w:val="1300"/>
    <w:link w:val="1143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1143">
    <w:name w:val="Heading 7 Char"/>
    <w:basedOn w:val="1304"/>
    <w:link w:val="114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1144">
    <w:name w:val="Heading 8"/>
    <w:basedOn w:val="1300"/>
    <w:next w:val="1300"/>
    <w:link w:val="1145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1145">
    <w:name w:val="Heading 8 Char"/>
    <w:basedOn w:val="1304"/>
    <w:link w:val="1144"/>
    <w:uiPriority w:val="9"/>
    <w:rPr>
      <w:rFonts w:ascii="Arial" w:hAnsi="Arial" w:eastAsia="Arial" w:cs="Arial"/>
      <w:i/>
      <w:iCs/>
      <w:sz w:val="22"/>
      <w:szCs w:val="22"/>
    </w:rPr>
  </w:style>
  <w:style w:type="paragraph" w:styleId="1146">
    <w:name w:val="Heading 9"/>
    <w:basedOn w:val="1300"/>
    <w:next w:val="1300"/>
    <w:link w:val="1147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1147">
    <w:name w:val="Heading 9 Char"/>
    <w:basedOn w:val="1304"/>
    <w:link w:val="1146"/>
    <w:uiPriority w:val="9"/>
    <w:rPr>
      <w:rFonts w:ascii="Arial" w:hAnsi="Arial" w:eastAsia="Arial" w:cs="Arial"/>
      <w:i/>
      <w:iCs/>
      <w:sz w:val="21"/>
      <w:szCs w:val="21"/>
    </w:rPr>
  </w:style>
  <w:style w:type="paragraph" w:styleId="1148">
    <w:name w:val="Title"/>
    <w:basedOn w:val="1300"/>
    <w:next w:val="1300"/>
    <w:link w:val="1149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1149">
    <w:name w:val="Title Char"/>
    <w:basedOn w:val="1304"/>
    <w:link w:val="1148"/>
    <w:uiPriority w:val="10"/>
    <w:rPr>
      <w:sz w:val="48"/>
      <w:szCs w:val="48"/>
    </w:rPr>
  </w:style>
  <w:style w:type="paragraph" w:styleId="1150">
    <w:name w:val="Subtitle"/>
    <w:basedOn w:val="1300"/>
    <w:next w:val="1300"/>
    <w:link w:val="1151"/>
    <w:uiPriority w:val="11"/>
    <w:qFormat/>
    <w:pPr>
      <w:spacing w:before="200" w:after="200"/>
    </w:pPr>
    <w:rPr>
      <w:sz w:val="24"/>
      <w:szCs w:val="24"/>
    </w:rPr>
  </w:style>
  <w:style w:type="character" w:styleId="1151">
    <w:name w:val="Subtitle Char"/>
    <w:basedOn w:val="1304"/>
    <w:link w:val="1150"/>
    <w:uiPriority w:val="11"/>
    <w:rPr>
      <w:sz w:val="24"/>
      <w:szCs w:val="24"/>
    </w:rPr>
  </w:style>
  <w:style w:type="paragraph" w:styleId="1152">
    <w:name w:val="Quote"/>
    <w:basedOn w:val="1300"/>
    <w:next w:val="1300"/>
    <w:link w:val="1153"/>
    <w:uiPriority w:val="29"/>
    <w:qFormat/>
    <w:pPr>
      <w:ind w:left="720" w:right="720"/>
    </w:pPr>
    <w:rPr>
      <w:i/>
    </w:rPr>
  </w:style>
  <w:style w:type="character" w:styleId="1153">
    <w:name w:val="Quote Char"/>
    <w:link w:val="1152"/>
    <w:uiPriority w:val="29"/>
    <w:rPr>
      <w:i/>
    </w:rPr>
  </w:style>
  <w:style w:type="paragraph" w:styleId="1154">
    <w:name w:val="Intense Quote"/>
    <w:basedOn w:val="1300"/>
    <w:next w:val="1300"/>
    <w:link w:val="1155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1155">
    <w:name w:val="Intense Quote Char"/>
    <w:link w:val="1154"/>
    <w:uiPriority w:val="30"/>
    <w:rPr>
      <w:i/>
    </w:rPr>
  </w:style>
  <w:style w:type="character" w:styleId="1156">
    <w:name w:val="Header Char"/>
    <w:basedOn w:val="1304"/>
    <w:link w:val="1311"/>
    <w:uiPriority w:val="99"/>
  </w:style>
  <w:style w:type="character" w:styleId="1157">
    <w:name w:val="Footer Char"/>
    <w:basedOn w:val="1304"/>
    <w:link w:val="1337"/>
    <w:uiPriority w:val="99"/>
  </w:style>
  <w:style w:type="paragraph" w:styleId="1158">
    <w:name w:val="Caption"/>
    <w:basedOn w:val="1300"/>
    <w:next w:val="1300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1159">
    <w:name w:val="Caption Char"/>
    <w:basedOn w:val="1158"/>
    <w:link w:val="1337"/>
    <w:uiPriority w:val="99"/>
  </w:style>
  <w:style w:type="table" w:styleId="1160">
    <w:name w:val="Table Grid Light"/>
    <w:basedOn w:val="130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61">
    <w:name w:val="Plain Table 1"/>
    <w:basedOn w:val="130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162">
    <w:name w:val="Plain Table 2"/>
    <w:basedOn w:val="130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163">
    <w:name w:val="Plain Table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1164">
    <w:name w:val="Plain Table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65">
    <w:name w:val="Plain Table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1166">
    <w:name w:val="Grid Table 1 Light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67">
    <w:name w:val="Grid Table 1 Light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68">
    <w:name w:val="Grid Table 1 Light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69">
    <w:name w:val="Grid Table 1 Light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0">
    <w:name w:val="Grid Table 1 Light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1">
    <w:name w:val="Grid Table 1 Light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2">
    <w:name w:val="Grid Table 1 Light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73">
    <w:name w:val="Grid Table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4">
    <w:name w:val="Grid Table 2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5">
    <w:name w:val="Grid Table 2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6">
    <w:name w:val="Grid Table 2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7">
    <w:name w:val="Grid Table 2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8">
    <w:name w:val="Grid Table 2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9">
    <w:name w:val="Grid Table 2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0">
    <w:name w:val="Grid Table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1">
    <w:name w:val="Grid Table 3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2">
    <w:name w:val="Grid Table 3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3">
    <w:name w:val="Grid Table 3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4">
    <w:name w:val="Grid Table 3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5">
    <w:name w:val="Grid Table 3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6">
    <w:name w:val="Grid Table 3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87">
    <w:name w:val="Grid Table 4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1188">
    <w:name w:val="Grid Table 4 - Accent 1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1189">
    <w:name w:val="Grid Table 4 - Accent 2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1190">
    <w:name w:val="Grid Table 4 - Accent 3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1191">
    <w:name w:val="Grid Table 4 - Accent 4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1192">
    <w:name w:val="Grid Table 4 - Accent 5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1193">
    <w:name w:val="Grid Table 4 - Accent 6"/>
    <w:basedOn w:val="130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1194">
    <w:name w:val="Grid Table 5 Dark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1195">
    <w:name w:val="Grid Table 5 Dark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1196">
    <w:name w:val="Grid Table 5 Dark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1197">
    <w:name w:val="Grid Table 5 Dark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1198">
    <w:name w:val="Grid Table 5 Dark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1199">
    <w:name w:val="Grid Table 5 Dark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1200">
    <w:name w:val="Grid Table 5 Dark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1201">
    <w:name w:val="Grid Table 6 Colorful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1202">
    <w:name w:val="Grid Table 6 Colorful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1203">
    <w:name w:val="Grid Table 6 Colorful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1204">
    <w:name w:val="Grid Table 6 Colorful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1205">
    <w:name w:val="Grid Table 6 Colorful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1206">
    <w:name w:val="Grid Table 6 Colorful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207">
    <w:name w:val="Grid Table 6 Colorful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208">
    <w:name w:val="Grid Table 7 Colorful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09">
    <w:name w:val="Grid Table 7 Colorful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0">
    <w:name w:val="Grid Table 7 Colorful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1">
    <w:name w:val="Grid Table 7 Colorful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2">
    <w:name w:val="Grid Table 7 Colorful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3">
    <w:name w:val="Grid Table 7 Colorful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4">
    <w:name w:val="Grid Table 7 Colorful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5">
    <w:name w:val="List Table 1 Light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6">
    <w:name w:val="List Table 1 Light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7">
    <w:name w:val="List Table 1 Light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8">
    <w:name w:val="List Table 1 Light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19">
    <w:name w:val="List Table 1 Light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20">
    <w:name w:val="List Table 1 Light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21">
    <w:name w:val="List Table 1 Light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222">
    <w:name w:val="List Table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223">
    <w:name w:val="List Table 2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224">
    <w:name w:val="List Table 2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225">
    <w:name w:val="List Table 2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226">
    <w:name w:val="List Table 2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227">
    <w:name w:val="List Table 2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228">
    <w:name w:val="List Table 2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229">
    <w:name w:val="List Table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0">
    <w:name w:val="List Table 3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1">
    <w:name w:val="List Table 3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2">
    <w:name w:val="List Table 3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3">
    <w:name w:val="List Table 3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4">
    <w:name w:val="List Table 3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5">
    <w:name w:val="List Table 3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6">
    <w:name w:val="List Table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7">
    <w:name w:val="List Table 4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8">
    <w:name w:val="List Table 4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9">
    <w:name w:val="List Table 4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0">
    <w:name w:val="List Table 4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1">
    <w:name w:val="List Table 4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2">
    <w:name w:val="List Table 4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3">
    <w:name w:val="List Table 5 Dark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4">
    <w:name w:val="List Table 5 Dark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5">
    <w:name w:val="List Table 5 Dark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6">
    <w:name w:val="List Table 5 Dark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7">
    <w:name w:val="List Table 5 Dark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8">
    <w:name w:val="List Table 5 Dark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49">
    <w:name w:val="List Table 5 Dark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50">
    <w:name w:val="List Table 6 Colorful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251">
    <w:name w:val="List Table 6 Colorful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252">
    <w:name w:val="List Table 6 Colorful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253">
    <w:name w:val="List Table 6 Colorful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254">
    <w:name w:val="List Table 6 Colorful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255">
    <w:name w:val="List Table 6 Colorful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256">
    <w:name w:val="List Table 6 Colorful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257">
    <w:name w:val="List Table 7 Colorful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258">
    <w:name w:val="List Table 7 Colorful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259">
    <w:name w:val="List Table 7 Colorful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260">
    <w:name w:val="List Table 7 Colorful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261">
    <w:name w:val="List Table 7 Colorful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262">
    <w:name w:val="List Table 7 Colorful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263">
    <w:name w:val="List Table 7 Colorful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264">
    <w:name w:val="Lined - Accent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265">
    <w:name w:val="Lined - Accent 1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266">
    <w:name w:val="Lined - Accent 2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267">
    <w:name w:val="Lined - Accent 3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268">
    <w:name w:val="Lined - Accent 4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269">
    <w:name w:val="Lined - Accent 5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270">
    <w:name w:val="Lined - Accent 6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271">
    <w:name w:val="Bordered &amp; Lined - Accent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272">
    <w:name w:val="Bordered &amp; Lined - Accent 1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273">
    <w:name w:val="Bordered &amp; Lined - Accent 2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274">
    <w:name w:val="Bordered &amp; Lined - Accent 3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275">
    <w:name w:val="Bordered &amp; Lined - Accent 4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276">
    <w:name w:val="Bordered &amp; Lined - Accent 5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277">
    <w:name w:val="Bordered &amp; Lined - Accent 6"/>
    <w:basedOn w:val="130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278">
    <w:name w:val="Bordered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279">
    <w:name w:val="Bordered - Accent 1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280">
    <w:name w:val="Bordered - Accent 2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281">
    <w:name w:val="Bordered - Accent 3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282">
    <w:name w:val="Bordered - Accent 4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283">
    <w:name w:val="Bordered - Accent 5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284">
    <w:name w:val="Bordered - Accent 6"/>
    <w:basedOn w:val="130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285">
    <w:name w:val="Footnote Text Char"/>
    <w:link w:val="1318"/>
    <w:uiPriority w:val="99"/>
    <w:rPr>
      <w:sz w:val="18"/>
    </w:rPr>
  </w:style>
  <w:style w:type="paragraph" w:styleId="1286">
    <w:name w:val="endnote text"/>
    <w:basedOn w:val="1300"/>
    <w:link w:val="1287"/>
    <w:uiPriority w:val="99"/>
    <w:semiHidden/>
    <w:unhideWhenUsed/>
    <w:pPr>
      <w:spacing w:after="0" w:line="240" w:lineRule="auto"/>
    </w:pPr>
    <w:rPr>
      <w:sz w:val="20"/>
    </w:rPr>
  </w:style>
  <w:style w:type="character" w:styleId="1287">
    <w:name w:val="Endnote Text Char"/>
    <w:link w:val="1286"/>
    <w:uiPriority w:val="99"/>
    <w:rPr>
      <w:sz w:val="20"/>
    </w:rPr>
  </w:style>
  <w:style w:type="character" w:styleId="1288">
    <w:name w:val="endnote reference"/>
    <w:basedOn w:val="1304"/>
    <w:uiPriority w:val="99"/>
    <w:semiHidden/>
    <w:unhideWhenUsed/>
    <w:rPr>
      <w:vertAlign w:val="superscript"/>
    </w:rPr>
  </w:style>
  <w:style w:type="paragraph" w:styleId="1289">
    <w:name w:val="toc 1"/>
    <w:basedOn w:val="1300"/>
    <w:next w:val="1300"/>
    <w:uiPriority w:val="39"/>
    <w:unhideWhenUsed/>
    <w:pPr>
      <w:ind w:left="0" w:right="0" w:firstLine="0"/>
      <w:spacing w:after="57"/>
    </w:pPr>
  </w:style>
  <w:style w:type="paragraph" w:styleId="1290">
    <w:name w:val="toc 2"/>
    <w:basedOn w:val="1300"/>
    <w:next w:val="1300"/>
    <w:uiPriority w:val="39"/>
    <w:unhideWhenUsed/>
    <w:pPr>
      <w:ind w:left="283" w:right="0" w:firstLine="0"/>
      <w:spacing w:after="57"/>
    </w:pPr>
  </w:style>
  <w:style w:type="paragraph" w:styleId="1291">
    <w:name w:val="toc 3"/>
    <w:basedOn w:val="1300"/>
    <w:next w:val="1300"/>
    <w:uiPriority w:val="39"/>
    <w:unhideWhenUsed/>
    <w:pPr>
      <w:ind w:left="567" w:right="0" w:firstLine="0"/>
      <w:spacing w:after="57"/>
    </w:pPr>
  </w:style>
  <w:style w:type="paragraph" w:styleId="1292">
    <w:name w:val="toc 4"/>
    <w:basedOn w:val="1300"/>
    <w:next w:val="1300"/>
    <w:uiPriority w:val="39"/>
    <w:unhideWhenUsed/>
    <w:pPr>
      <w:ind w:left="850" w:right="0" w:firstLine="0"/>
      <w:spacing w:after="57"/>
    </w:pPr>
  </w:style>
  <w:style w:type="paragraph" w:styleId="1293">
    <w:name w:val="toc 5"/>
    <w:basedOn w:val="1300"/>
    <w:next w:val="1300"/>
    <w:uiPriority w:val="39"/>
    <w:unhideWhenUsed/>
    <w:pPr>
      <w:ind w:left="1134" w:right="0" w:firstLine="0"/>
      <w:spacing w:after="57"/>
    </w:pPr>
  </w:style>
  <w:style w:type="paragraph" w:styleId="1294">
    <w:name w:val="toc 6"/>
    <w:basedOn w:val="1300"/>
    <w:next w:val="1300"/>
    <w:uiPriority w:val="39"/>
    <w:unhideWhenUsed/>
    <w:pPr>
      <w:ind w:left="1417" w:right="0" w:firstLine="0"/>
      <w:spacing w:after="57"/>
    </w:pPr>
  </w:style>
  <w:style w:type="paragraph" w:styleId="1295">
    <w:name w:val="toc 7"/>
    <w:basedOn w:val="1300"/>
    <w:next w:val="1300"/>
    <w:uiPriority w:val="39"/>
    <w:unhideWhenUsed/>
    <w:pPr>
      <w:ind w:left="1701" w:right="0" w:firstLine="0"/>
      <w:spacing w:after="57"/>
    </w:pPr>
  </w:style>
  <w:style w:type="paragraph" w:styleId="1296">
    <w:name w:val="toc 8"/>
    <w:basedOn w:val="1300"/>
    <w:next w:val="1300"/>
    <w:uiPriority w:val="39"/>
    <w:unhideWhenUsed/>
    <w:pPr>
      <w:ind w:left="1984" w:right="0" w:firstLine="0"/>
      <w:spacing w:after="57"/>
    </w:pPr>
  </w:style>
  <w:style w:type="paragraph" w:styleId="1297">
    <w:name w:val="toc 9"/>
    <w:basedOn w:val="1300"/>
    <w:next w:val="1300"/>
    <w:uiPriority w:val="39"/>
    <w:unhideWhenUsed/>
    <w:pPr>
      <w:ind w:left="2268" w:right="0" w:firstLine="0"/>
      <w:spacing w:after="57"/>
    </w:pPr>
  </w:style>
  <w:style w:type="paragraph" w:styleId="1298">
    <w:name w:val="TOC Heading"/>
    <w:uiPriority w:val="39"/>
    <w:unhideWhenUsed/>
  </w:style>
  <w:style w:type="paragraph" w:styleId="1299">
    <w:name w:val="table of figures"/>
    <w:basedOn w:val="1300"/>
    <w:next w:val="1300"/>
    <w:uiPriority w:val="99"/>
    <w:unhideWhenUsed/>
    <w:pPr>
      <w:spacing w:after="0" w:afterAutospacing="0"/>
    </w:pPr>
  </w:style>
  <w:style w:type="paragraph" w:styleId="1300" w:default="1">
    <w:name w:val="Normal"/>
    <w:qFormat/>
    <w:pPr>
      <w:contextualSpacing/>
      <w:ind w:firstLine="708"/>
      <w:jc w:val="both"/>
      <w:spacing w:line="240" w:lineRule="auto"/>
    </w:pPr>
    <w:rPr>
      <w:rFonts w:ascii="Times New Roman" w:hAnsi="Times New Roman" w:eastAsia="Calibri" w:cs="Times New Roman"/>
      <w:b/>
      <w:bCs/>
      <w:color w:val="000000"/>
      <w:sz w:val="28"/>
      <w:szCs w:val="28"/>
      <w:shd w:val="clear" w:color="ffffff" w:themeColor="background1" w:fill="ffffff" w:themeFill="background1"/>
    </w:rPr>
  </w:style>
  <w:style w:type="paragraph" w:styleId="1301">
    <w:name w:val="Heading 1"/>
    <w:basedOn w:val="1300"/>
    <w:link w:val="1307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1302">
    <w:name w:val="Heading 2"/>
    <w:basedOn w:val="1300"/>
    <w:next w:val="1300"/>
    <w:link w:val="1324"/>
    <w:uiPriority w:val="9"/>
    <w:unhideWhenUsed/>
    <w:qFormat/>
    <w:pPr>
      <w:keepLines/>
      <w:keepNext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1303">
    <w:name w:val="Heading 3"/>
    <w:basedOn w:val="1300"/>
    <w:next w:val="1300"/>
    <w:link w:val="1345"/>
    <w:uiPriority w:val="9"/>
    <w:semiHidden/>
    <w:unhideWhenUsed/>
    <w:qFormat/>
    <w:pPr>
      <w:keepLines/>
      <w:keepNext/>
      <w:spacing w:before="40" w:after="0"/>
      <w:outlineLvl w:val="2"/>
    </w:pPr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character" w:styleId="1304" w:default="1">
    <w:name w:val="Default Paragraph Font"/>
    <w:uiPriority w:val="1"/>
    <w:semiHidden/>
    <w:unhideWhenUsed/>
  </w:style>
  <w:style w:type="table" w:styleId="130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1306" w:default="1">
    <w:name w:val="No List"/>
    <w:uiPriority w:val="99"/>
    <w:semiHidden/>
    <w:unhideWhenUsed/>
  </w:style>
  <w:style w:type="character" w:styleId="1307" w:customStyle="1">
    <w:name w:val="Заголовок 1 Знак"/>
    <w:basedOn w:val="1304"/>
    <w:link w:val="1301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1308" w:customStyle="1">
    <w:name w:val="ConsPlusNormal"/>
    <w:link w:val="1309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1309" w:customStyle="1">
    <w:name w:val="ConsPlusNormal Знак"/>
    <w:basedOn w:val="1304"/>
    <w:link w:val="1308"/>
    <w:rPr>
      <w:rFonts w:ascii="Arial" w:hAnsi="Arial" w:eastAsia="Times New Roman" w:cs="Arial"/>
      <w:sz w:val="20"/>
      <w:szCs w:val="20"/>
      <w:lang w:eastAsia="ru-RU"/>
    </w:rPr>
  </w:style>
  <w:style w:type="character" w:styleId="1310">
    <w:name w:val="Hyperlink"/>
    <w:basedOn w:val="1304"/>
    <w:unhideWhenUsed/>
    <w:rPr>
      <w:color w:val="0000ff"/>
      <w:u w:val="single"/>
    </w:rPr>
  </w:style>
  <w:style w:type="paragraph" w:styleId="1311">
    <w:name w:val="Header"/>
    <w:basedOn w:val="1300"/>
    <w:link w:val="1312"/>
    <w:uiPriority w:val="99"/>
    <w:pPr>
      <w:spacing w:after="0" w:line="240" w:lineRule="auto"/>
      <w:tabs>
        <w:tab w:val="center" w:pos="4677" w:leader="none"/>
        <w:tab w:val="right" w:pos="9355" w:leader="none"/>
      </w:tabs>
    </w:pPr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1312" w:customStyle="1">
    <w:name w:val="Верхний колонтитул Знак"/>
    <w:basedOn w:val="1304"/>
    <w:link w:val="1311"/>
    <w:uiPriority w:val="99"/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1313" w:customStyle="1">
    <w:name w:val="title1"/>
    <w:basedOn w:val="1304"/>
  </w:style>
  <w:style w:type="paragraph" w:styleId="1314">
    <w:name w:val="Balloon Text"/>
    <w:basedOn w:val="1300"/>
    <w:link w:val="131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1315" w:customStyle="1">
    <w:name w:val="Текст выноски Знак"/>
    <w:basedOn w:val="1304"/>
    <w:link w:val="1314"/>
    <w:uiPriority w:val="99"/>
    <w:semiHidden/>
    <w:rPr>
      <w:rFonts w:ascii="Tahoma" w:hAnsi="Tahoma" w:cs="Tahoma"/>
      <w:sz w:val="16"/>
      <w:szCs w:val="16"/>
    </w:rPr>
  </w:style>
  <w:style w:type="paragraph" w:styleId="1316">
    <w:name w:val="Normal (Web)"/>
    <w:basedOn w:val="1300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317">
    <w:name w:val="Table Grid"/>
    <w:basedOn w:val="1305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318">
    <w:name w:val="footnote text"/>
    <w:basedOn w:val="1300"/>
    <w:link w:val="1319"/>
    <w:uiPriority w:val="99"/>
    <w:unhideWhenUsed/>
    <w:pPr>
      <w:spacing w:after="0" w:line="240" w:lineRule="auto"/>
    </w:pPr>
    <w:rPr>
      <w:sz w:val="20"/>
      <w:szCs w:val="20"/>
    </w:rPr>
  </w:style>
  <w:style w:type="character" w:styleId="1319" w:customStyle="1">
    <w:name w:val="Текст сноски Знак"/>
    <w:basedOn w:val="1304"/>
    <w:link w:val="1318"/>
    <w:uiPriority w:val="99"/>
    <w:rPr>
      <w:sz w:val="20"/>
      <w:szCs w:val="20"/>
    </w:rPr>
  </w:style>
  <w:style w:type="character" w:styleId="1320">
    <w:name w:val="footnote reference"/>
    <w:basedOn w:val="1304"/>
    <w:uiPriority w:val="99"/>
    <w:unhideWhenUsed/>
    <w:rPr>
      <w:vertAlign w:val="superscript"/>
    </w:rPr>
  </w:style>
  <w:style w:type="paragraph" w:styleId="1321">
    <w:name w:val="List Paragraph"/>
    <w:basedOn w:val="1300"/>
    <w:uiPriority w:val="34"/>
    <w:qFormat/>
    <w:pPr>
      <w:contextualSpacing/>
      <w:ind w:left="720"/>
      <w:spacing w:after="160" w:line="259" w:lineRule="auto"/>
    </w:pPr>
  </w:style>
  <w:style w:type="paragraph" w:styleId="1322">
    <w:name w:val="Body Text"/>
    <w:basedOn w:val="1300"/>
    <w:link w:val="1323"/>
    <w:uiPriority w:val="1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  <w:sz w:val="28"/>
      <w:szCs w:val="28"/>
    </w:rPr>
  </w:style>
  <w:style w:type="character" w:styleId="1323" w:customStyle="1">
    <w:name w:val="Основной текст Знак"/>
    <w:basedOn w:val="1304"/>
    <w:link w:val="1322"/>
    <w:uiPriority w:val="1"/>
    <w:rPr>
      <w:rFonts w:ascii="Times New Roman" w:hAnsi="Times New Roman" w:eastAsia="Times New Roman" w:cs="Times New Roman"/>
      <w:sz w:val="28"/>
      <w:szCs w:val="28"/>
    </w:rPr>
  </w:style>
  <w:style w:type="character" w:styleId="1324" w:customStyle="1">
    <w:name w:val="Заголовок 2 Знак"/>
    <w:basedOn w:val="1304"/>
    <w:link w:val="1302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1325" w:customStyle="1">
    <w:name w:val="Абзац списка1"/>
    <w:basedOn w:val="1300"/>
    <w:pPr>
      <w:contextualSpacing/>
      <w:ind w:left="720"/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1326">
    <w:name w:val="Strong"/>
    <w:basedOn w:val="1304"/>
    <w:uiPriority w:val="22"/>
    <w:qFormat/>
    <w:rPr>
      <w:b/>
      <w:bCs/>
    </w:rPr>
  </w:style>
  <w:style w:type="character" w:styleId="1327" w:customStyle="1">
    <w:name w:val="news__arrowdesktop"/>
    <w:basedOn w:val="1304"/>
  </w:style>
  <w:style w:type="paragraph" w:styleId="1328" w:customStyle="1">
    <w:name w:val="align_center"/>
    <w:basedOn w:val="130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329" w:customStyle="1">
    <w:name w:val="no-indent"/>
    <w:basedOn w:val="130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330">
    <w:name w:val="No Spacing"/>
    <w:link w:val="1343"/>
    <w:uiPriority w:val="1"/>
    <w:qFormat/>
    <w:pPr>
      <w:spacing w:after="0" w:line="240" w:lineRule="auto"/>
    </w:pPr>
  </w:style>
  <w:style w:type="character" w:styleId="1331" w:customStyle="1">
    <w:name w:val="Текст примечания Знак"/>
    <w:basedOn w:val="1304"/>
    <w:link w:val="1332"/>
    <w:uiPriority w:val="99"/>
    <w:semiHidden/>
    <w:rPr>
      <w:sz w:val="20"/>
      <w:szCs w:val="20"/>
    </w:rPr>
  </w:style>
  <w:style w:type="paragraph" w:styleId="1332">
    <w:name w:val="annotation text"/>
    <w:basedOn w:val="1300"/>
    <w:link w:val="1331"/>
    <w:uiPriority w:val="99"/>
    <w:semiHidden/>
    <w:unhideWhenUsed/>
    <w:pPr>
      <w:spacing w:after="160" w:line="240" w:lineRule="auto"/>
    </w:pPr>
    <w:rPr>
      <w:sz w:val="20"/>
      <w:szCs w:val="20"/>
    </w:rPr>
  </w:style>
  <w:style w:type="character" w:styleId="1333" w:customStyle="1">
    <w:name w:val="Текст примечания Знак1"/>
    <w:basedOn w:val="1304"/>
    <w:uiPriority w:val="99"/>
    <w:semiHidden/>
    <w:rPr>
      <w:sz w:val="20"/>
      <w:szCs w:val="20"/>
    </w:rPr>
  </w:style>
  <w:style w:type="character" w:styleId="1334" w:customStyle="1">
    <w:name w:val="Тема примечания Знак"/>
    <w:basedOn w:val="1331"/>
    <w:link w:val="1335"/>
    <w:uiPriority w:val="99"/>
    <w:semiHidden/>
    <w:rPr>
      <w:b/>
      <w:bCs/>
      <w:sz w:val="20"/>
      <w:szCs w:val="20"/>
    </w:rPr>
  </w:style>
  <w:style w:type="paragraph" w:styleId="1335">
    <w:name w:val="annotation subject"/>
    <w:basedOn w:val="1332"/>
    <w:next w:val="1332"/>
    <w:link w:val="1334"/>
    <w:uiPriority w:val="99"/>
    <w:semiHidden/>
    <w:unhideWhenUsed/>
    <w:rPr>
      <w:b/>
      <w:bCs/>
    </w:rPr>
  </w:style>
  <w:style w:type="character" w:styleId="1336" w:customStyle="1">
    <w:name w:val="Тема примечания Знак1"/>
    <w:basedOn w:val="1333"/>
    <w:uiPriority w:val="99"/>
    <w:semiHidden/>
    <w:rPr>
      <w:b/>
      <w:bCs/>
      <w:sz w:val="20"/>
      <w:szCs w:val="20"/>
    </w:rPr>
  </w:style>
  <w:style w:type="paragraph" w:styleId="1337">
    <w:name w:val="Footer"/>
    <w:basedOn w:val="1300"/>
    <w:link w:val="1338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1338" w:customStyle="1">
    <w:name w:val="Нижний колонтитул Знак"/>
    <w:basedOn w:val="1304"/>
    <w:link w:val="1337"/>
    <w:uiPriority w:val="99"/>
  </w:style>
  <w:style w:type="paragraph" w:styleId="1339" w:customStyle="1">
    <w:name w:val="Style4"/>
    <w:basedOn w:val="1300"/>
    <w:uiPriority w:val="99"/>
    <w:pPr>
      <w:ind w:firstLine="845"/>
      <w:jc w:val="both"/>
      <w:spacing w:after="0" w:line="323" w:lineRule="exact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1340" w:customStyle="1">
    <w:name w:val="Font Style20"/>
    <w:basedOn w:val="1304"/>
    <w:uiPriority w:val="99"/>
    <w:rPr>
      <w:rFonts w:ascii="Times New Roman" w:hAnsi="Times New Roman" w:cs="Times New Roman"/>
      <w:sz w:val="26"/>
      <w:szCs w:val="26"/>
    </w:rPr>
  </w:style>
  <w:style w:type="paragraph" w:styleId="1341" w:customStyle="1">
    <w:name w:val="Style8"/>
    <w:basedOn w:val="1300"/>
    <w:uiPriority w:val="99"/>
    <w:pPr>
      <w:jc w:val="both"/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1342" w:customStyle="1">
    <w:name w:val="ConsPlusTitle"/>
    <w:uiPriority w:val="99"/>
    <w:pPr>
      <w:spacing w:after="0" w:line="240" w:lineRule="auto"/>
      <w:widowControl w:val="off"/>
    </w:pPr>
    <w:rPr>
      <w:rFonts w:ascii="Arial" w:hAnsi="Arial" w:eastAsia="Times New Roman" w:cs="Arial"/>
      <w:b/>
      <w:bCs/>
      <w:sz w:val="20"/>
      <w:szCs w:val="20"/>
      <w:lang w:eastAsia="ru-RU"/>
    </w:rPr>
  </w:style>
  <w:style w:type="character" w:styleId="1343" w:customStyle="1">
    <w:name w:val="Без интервала Знак"/>
    <w:link w:val="1330"/>
    <w:uiPriority w:val="1"/>
  </w:style>
  <w:style w:type="paragraph" w:styleId="1344" w:customStyle="1">
    <w:name w:val="Style11"/>
    <w:basedOn w:val="1300"/>
    <w:uiPriority w:val="99"/>
    <w:pPr>
      <w:jc w:val="both"/>
      <w:spacing w:after="0" w:line="371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1345" w:customStyle="1">
    <w:name w:val="Заголовок 3 Знак"/>
    <w:basedOn w:val="1304"/>
    <w:link w:val="1303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paragraph" w:styleId="1346" w:customStyle="1">
    <w:name w:val="Style17"/>
    <w:basedOn w:val="1300"/>
    <w:uiPriority w:val="99"/>
    <w:pPr>
      <w:ind w:firstLine="706"/>
      <w:jc w:val="both"/>
      <w:spacing w:after="0" w:line="370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347" w:customStyle="1">
    <w:name w:val="u"/>
    <w:basedOn w:val="130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348" w:customStyle="1">
    <w:name w:val="Сетка таблицы1"/>
    <w:basedOn w:val="1305"/>
    <w:next w:val="1317"/>
    <w:uiPriority w:val="3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349" w:customStyle="1">
    <w:name w:val="Абзац списка"/>
    <w:uiPriority w:val="34"/>
    <w:qFormat/>
    <w:pPr>
      <w:contextualSpacing/>
      <w:ind w:left="720" w:right="0" w:firstLine="709"/>
      <w:jc w:val="both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350" w:customStyle="1">
    <w:name w:val="Обычный (веб)"/>
    <w:uiPriority w:val="99"/>
    <w:unhideWhenUsed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51" w:customStyle="1">
    <w:name w:val="Текст сноски"/>
    <w:uiPriority w:val="99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en-US" w:eastAsia="ru-RU" w:bidi="ar-SA"/>
      <w14:ligatures w14:val="none"/>
    </w:rPr>
  </w:style>
  <w:style w:type="character" w:styleId="1352" w:customStyle="1">
    <w:name w:val="Знак сноски"/>
    <w:uiPriority w:val="99"/>
    <w:semiHidden/>
    <w:rPr>
      <w:vertAlign w:val="superscript"/>
    </w:rPr>
  </w:style>
  <w:style w:type="paragraph" w:styleId="1353" w:customStyle="1">
    <w:name w:val="Style1"/>
    <w:uiPriority w:val="99"/>
    <w:pPr>
      <w:contextualSpacing w:val="0"/>
      <w:ind w:left="0" w:right="0" w:firstLine="713"/>
      <w:jc w:val="both"/>
      <w:keepLines w:val="0"/>
      <w:keepNext w:val="0"/>
      <w:pageBreakBefore w:val="0"/>
      <w:spacing w:before="0" w:beforeAutospacing="0" w:after="0" w:afterAutospacing="0" w:line="356" w:lineRule="exact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54" w:customStyle="1">
    <w:name w:val="Default"/>
    <w:next w:val="1301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character" w:styleId="1355" w:customStyle="1">
    <w:name w:val="Гиперссылка"/>
    <w:uiPriority w:val="99"/>
    <w:rPr>
      <w:color w:val="0000ff"/>
      <w:u w:val="single"/>
    </w:rPr>
  </w:style>
  <w:style w:type="paragraph" w:styleId="1356" w:customStyle="1">
    <w:name w:val="Без интервала"/>
    <w:next w:val="1210"/>
    <w:link w:val="1138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alibri" w:hAnsi="Calibri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357" w:customStyle="1">
    <w:name w:val="Заголовок 3"/>
    <w:uiPriority w:val="9"/>
    <w:unhideWhenUsed/>
    <w:qFormat/>
    <w:pPr>
      <w:contextualSpacing w:val="0"/>
      <w:ind w:left="0" w:right="0" w:firstLine="709"/>
      <w:jc w:val="both"/>
      <w:keepLines w:val="0"/>
      <w:keepNext/>
      <w:pageBreakBefore w:val="0"/>
      <w:spacing w:before="240" w:beforeAutospacing="0" w:after="6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2"/>
      <w:suppressLineNumbers w:val="0"/>
    </w:pPr>
    <w:rPr>
      <w:rFonts w:ascii="Calibri Light" w:hAnsi="Calibri Light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6"/>
      <w:szCs w:val="26"/>
      <w:highlight w:val="none"/>
      <w:u w:val="none"/>
      <w:vertAlign w:val="baseline"/>
      <w:rtl w:val="0"/>
      <w:cs w:val="0"/>
      <w:lang w:val="en-US" w:eastAsia="en-US" w:bidi="ar-SA"/>
      <w14:ligatures w14:val="none"/>
    </w:rPr>
  </w:style>
  <w:style w:type="paragraph" w:styleId="1358" w:customStyle="1">
    <w:name w:val="Text body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59" w:customStyle="1">
    <w:name w:val="ConsPlusTitlePage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ahoma" w:hAnsi="Tahoma" w:eastAsia="Times New Roman" w:cs="Tahoma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customXml" Target="../customXml/item1.xml" /><Relationship Id="rId13" Type="http://schemas.openxmlformats.org/officeDocument/2006/relationships/image" Target="media/image1.jpg"/><Relationship Id="rId14" Type="http://schemas.openxmlformats.org/officeDocument/2006/relationships/hyperlink" Target="https://www.consultant.ru/document/cons_doc_LAW_502191/" TargetMode="External"/><Relationship Id="rId15" Type="http://schemas.openxmlformats.org/officeDocument/2006/relationships/hyperlink" Target="https://www.consultant.ru/document/cons_doc_LAW_501229/" TargetMode="External"/><Relationship Id="rId16" Type="http://schemas.openxmlformats.org/officeDocument/2006/relationships/hyperlink" Target="https://newsletters.consultant.ru/go/?letter_id=2618&amp;url=https%3A%2F%2Flogin.consultant.ru%2Flink%2F%3Freq%3Ddoc%26base%3DLAW%26n%3D501324%26dst%3D882%26send%3D1%26email_id%3D247660%26cn%3D2618%3Aconstruction%3Ajurist&amp;scope=construction" TargetMode="External"/><Relationship Id="rId17" Type="http://schemas.openxmlformats.org/officeDocument/2006/relationships/hyperlink" Target="https://newsletters.consultant.ru/go/?letter_id=2618&amp;url=https%3A%2F%2Flogin.consultant.ru%2Flink%2F%3Freq%3Ddoc%26base%3DLAW%26n%3D501324%26dst%3D1246%26send%3D1%26email_id%3D247660%26cn%3D2618%3Aconstruction%3Ajurist&amp;scope=construction" TargetMode="External"/><Relationship Id="rId18" Type="http://schemas.openxmlformats.org/officeDocument/2006/relationships/hyperlink" Target="https://newsletters.consultant.ru/go/?letter_id=2618&amp;url=https%3A%2F%2Flogin.consultant.ru%2Flink%2F%3Freq%3Ddoc%26base%3DLAW%26n%3D501324%26dst%3D463%26send%3D1%26email_id%3D247660%26cn%3D2618%3Aconstruction%3Ajurist&amp;scope=construction" TargetMode="External"/><Relationship Id="rId19" Type="http://schemas.openxmlformats.org/officeDocument/2006/relationships/hyperlink" Target="https://newsletters.consultant.ru/go/?letter_id=2618&amp;url=https%3A%2F%2Flogin.consultant.ru%2Flink%2F%3Freq%3Ddoc%26base%3DLAW%26n%3D501229%26dst%3D100032%26send%3D1%26email_id%3D247660%26cn%3D2618%3Aconstruction%3Ajurist&amp;scope=construction" TargetMode="External"/><Relationship Id="rId20" Type="http://schemas.openxmlformats.org/officeDocument/2006/relationships/hyperlink" Target="https://newsletters.consultant.ru/go/?letter_id=2618&amp;url=https%3A%2F%2Flogin.consultant.ru%2Flink%2F%3Freq%3Ddoc%26base%3DLAW%26n%3D501229%26dst%3D100094%26send%3D1%26email_id%3D247660%26cn%3D2618%3Aconstruction%3Ajurist&amp;scope=construction" TargetMode="External"/><Relationship Id="rId21" Type="http://schemas.openxmlformats.org/officeDocument/2006/relationships/hyperlink" Target="https://newsletters.consultant.ru/go/?letter_id=2618&amp;url=https%3A%2F%2Flogin.consultant.ru%2Flink%2F%3Freq%3Ddoc%26base%3DLAW%26n%3D501325%26dst%3D804%26send%3D1%26email_id%3D247660%26cn%3D2618%3Aconstruction%3Ajurist&amp;scope=construction" TargetMode="External"/><Relationship Id="rId22" Type="http://schemas.openxmlformats.org/officeDocument/2006/relationships/hyperlink" Target="https://www.consultant.ru/document/cons_doc_LAW_502590/" TargetMode="External"/><Relationship Id="rId23" Type="http://schemas.openxmlformats.org/officeDocument/2006/relationships/hyperlink" Target="https://newsletters.consultant.ru/go/?letter_id=2652&amp;url=https%3A%2F%2Flogin.consultant.ru%2Flink%2F%3Freq%3Ddoc%26base%3DLAW%26n%3D503057%26dst%3D100005%26send%3D1%26email_id%3D247660%26cn%3D2652%3Aconstruction%3Ajurist&amp;scope=construction" TargetMode="External"/><Relationship Id="rId24" Type="http://schemas.openxmlformats.org/officeDocument/2006/relationships/hyperlink" Target="https://newsletters.consultant.ru/go/?letter_id=2652&amp;url=https%3A%2F%2Flogin.consultant.ru%2Flink%2F%3Freq%3Ddoc%26base%3DLAW%26n%3D481298%26dst%3D4637%26send%3D1%26email_id%3D247660%26cn%3D2652%3Aconstruction%3Ajurist&amp;scope=construction" TargetMode="External"/><Relationship Id="rId25" Type="http://schemas.openxmlformats.org/officeDocument/2006/relationships/hyperlink" Target="https://newsletters.consultant.ru/go/?letter_id=2652&amp;url=https%3A%2F%2Flogin.consultant.ru%2Flink%2F%3Freq%3Ddoc%26base%3DLAW%26n%3D425136%26dst%3D100056%26send%3D1%26email_id%3D247660%26cn%3D2652%3Aconstruction%3Ajurist&amp;scope=construction" TargetMode="External"/><Relationship Id="rId26" Type="http://schemas.openxmlformats.org/officeDocument/2006/relationships/hyperlink" Target="https://newsletters.consultant.ru/go/?letter_id=2652&amp;url=https%3A%2F%2Flogin.consultant.ru%2Flink%2F%3Freq%3Ddoc%26base%3DLAW%26n%3D481298%26dst%3D4636%26send%3D1%26email_id%3D247660%26cn%3D2652%3Aconstruction%3Ajurist&amp;scope=construction" TargetMode="External"/><Relationship Id="rId27" Type="http://schemas.openxmlformats.org/officeDocument/2006/relationships/hyperlink" Target="https://www.consultant.ru/document/cons_doc_LAW_502508/" TargetMode="External"/><Relationship Id="rId28" Type="http://schemas.openxmlformats.org/officeDocument/2006/relationships/hyperlink" Target="https://www.consultant.ru/document/cons_doc_LAW_502324/" TargetMode="External"/><Relationship Id="rId29" Type="http://schemas.openxmlformats.org/officeDocument/2006/relationships/image" Target="media/image2.png"/><Relationship Id="rId30" Type="http://schemas.openxmlformats.org/officeDocument/2006/relationships/image" Target="media/image3.png"/><Relationship Id="rId31" Type="http://schemas.openxmlformats.org/officeDocument/2006/relationships/image" Target="media/image4.png"/><Relationship Id="rId32" Type="http://schemas.openxmlformats.org/officeDocument/2006/relationships/image" Target="media/image5.png"/><Relationship Id="rId33" Type="http://schemas.openxmlformats.org/officeDocument/2006/relationships/image" Target="media/image6.png"/><Relationship Id="rId34" Type="http://schemas.openxmlformats.org/officeDocument/2006/relationships/image" Target="media/image7.png"/><Relationship Id="rId35" Type="http://schemas.openxmlformats.org/officeDocument/2006/relationships/image" Target="media/image8.png"/><Relationship Id="rId36" Type="http://schemas.openxmlformats.org/officeDocument/2006/relationships/image" Target="media/image9.png"/><Relationship Id="rId37" Type="http://schemas.openxmlformats.org/officeDocument/2006/relationships/image" Target="media/image10.png"/><Relationship Id="rId38" Type="http://schemas.openxmlformats.org/officeDocument/2006/relationships/image" Target="media/image11.png"/><Relationship Id="rId39" Type="http://schemas.openxmlformats.org/officeDocument/2006/relationships/image" Target="media/image12.png"/><Relationship Id="rId40" Type="http://schemas.openxmlformats.org/officeDocument/2006/relationships/image" Target="media/image13.png"/><Relationship Id="rId41" Type="http://schemas.openxmlformats.org/officeDocument/2006/relationships/image" Target="media/image14.png"/><Relationship Id="rId42" Type="http://schemas.openxmlformats.org/officeDocument/2006/relationships/image" Target="media/image15.png"/><Relationship Id="rId43" Type="http://schemas.openxmlformats.org/officeDocument/2006/relationships/image" Target="media/image16.png"/><Relationship Id="rId44" Type="http://schemas.openxmlformats.org/officeDocument/2006/relationships/image" Target="media/image17.png"/><Relationship Id="rId45" Type="http://schemas.openxmlformats.org/officeDocument/2006/relationships/image" Target="media/image18.png"/><Relationship Id="rId46" Type="http://schemas.openxmlformats.org/officeDocument/2006/relationships/image" Target="media/image19.png"/><Relationship Id="rId47" Type="http://schemas.openxmlformats.org/officeDocument/2006/relationships/image" Target="media/image20.png"/><Relationship Id="rId48" Type="http://schemas.openxmlformats.org/officeDocument/2006/relationships/image" Target="media/image21.png"/><Relationship Id="rId49" Type="http://schemas.openxmlformats.org/officeDocument/2006/relationships/hyperlink" Target="https://www.consultant.ru/document/cons_doc_LAW_493331/8e198aee276569993e5925357c44f606cb89865b/#dst161" TargetMode="External"/><Relationship Id="rId50" Type="http://schemas.openxmlformats.org/officeDocument/2006/relationships/hyperlink" Target="https://www.consultant.ru/document/cons_doc_LAW_493331/a14bd2ca3dec44a27a39d623c13302daee66d2bd/#dst100019" TargetMode="External"/><Relationship Id="rId51" Type="http://schemas.openxmlformats.org/officeDocument/2006/relationships/hyperlink" Target="https://www.consultant.ru/document/cons_doc_LAW_482692/0357f6ec88e3d6d7616956dbeb6b6a07e2b393dd/#dst246" TargetMode="External"/><Relationship Id="rId52" Type="http://schemas.openxmlformats.org/officeDocument/2006/relationships/hyperlink" Target="https://www.consultant.ru/document/cons_doc_LAW_482692/3cce1aa143725a319a736327f1fd19a11f3c3fb5/#dst101174" TargetMode="External"/><Relationship Id="rId53" Type="http://schemas.openxmlformats.org/officeDocument/2006/relationships/hyperlink" Target="https://www.consultant.ru/document/cons_doc_LAW_482694/835f8a821039f024986397e42daaab6de52991f1/#dst100224" TargetMode="External"/><Relationship Id="rId54" Type="http://schemas.openxmlformats.org/officeDocument/2006/relationships/hyperlink" Target="https://www.consultant.ru/document/cons_doc_LAW_219925/fd4e8ca7562b1bd37255e941b02634b90ec3e929/#dst100621" TargetMode="External"/><Relationship Id="rId55" Type="http://schemas.openxmlformats.org/officeDocument/2006/relationships/hyperlink" Target="https://www.consultant.ru/document/cons_doc_LAW_500103/f10dc2166d2e834a0086658226e2f96fb5f1cb5f/#dst1402" TargetMode="External"/><Relationship Id="rId56" Type="http://schemas.openxmlformats.org/officeDocument/2006/relationships/hyperlink" Target="https://www.consultant.ru/document/cons_doc_LAW_500103/f10dc2166d2e834a0086658226e2f96fb5f1cb5f/#dst1403" TargetMode="External"/><Relationship Id="rId57" Type="http://schemas.openxmlformats.org/officeDocument/2006/relationships/hyperlink" Target="https://www.consultant.ru/document/cons_doc_LAW_500103/f10dc2166d2e834a0086658226e2f96fb5f1cb5f/#dst1403" TargetMode="External"/><Relationship Id="rId58" Type="http://schemas.openxmlformats.org/officeDocument/2006/relationships/hyperlink" Target="https://www.consultant.ru/document/cons_doc_LAW_500103/f10dc2166d2e834a0086658226e2f96fb5f1cb5f/#dst1402" TargetMode="External"/><Relationship Id="rId59" Type="http://schemas.openxmlformats.org/officeDocument/2006/relationships/hyperlink" Target="https://www.consultant.ru/document/cons_doc_LAW_500103/6c07b6c26bd6d54dd22077ca042a9a36f875d0c1/#dst100235" TargetMode="External"/><Relationship Id="rId60" Type="http://schemas.openxmlformats.org/officeDocument/2006/relationships/hyperlink" Target="https://www.consultant.ru/document/cons_doc_LAW_500103/6c07b6c26bd6d54dd22077ca042a9a36f875d0c1/#dst907" TargetMode="External"/><Relationship Id="rId61" Type="http://schemas.openxmlformats.org/officeDocument/2006/relationships/hyperlink" Target="https://www.consultant.ru/document/cons_doc_LAW_500103/6c07b6c26bd6d54dd22077ca042a9a36f875d0c1/#dst906" TargetMode="External"/><Relationship Id="rId62" Type="http://schemas.openxmlformats.org/officeDocument/2006/relationships/hyperlink" Target="https://www.consultant.ru/document/cons_doc_LAW_500103/6c07b6c26bd6d54dd22077ca042a9a36f875d0c1/#dst100241" TargetMode="External"/><Relationship Id="rId63" Type="http://schemas.openxmlformats.org/officeDocument/2006/relationships/image" Target="media/image22.png"/><Relationship Id="rId64" Type="http://schemas.openxmlformats.org/officeDocument/2006/relationships/image" Target="media/image23.png"/><Relationship Id="rId65" Type="http://schemas.openxmlformats.org/officeDocument/2006/relationships/image" Target="media/image24.png"/><Relationship Id="rId66" Type="http://schemas.openxmlformats.org/officeDocument/2006/relationships/image" Target="media/image25.png"/><Relationship Id="rId67" Type="http://schemas.openxmlformats.org/officeDocument/2006/relationships/image" Target="media/image26.png"/><Relationship Id="rId68" Type="http://schemas.openxmlformats.org/officeDocument/2006/relationships/image" Target="media/image27.png"/><Relationship Id="rId69" Type="http://schemas.openxmlformats.org/officeDocument/2006/relationships/image" Target="media/image28.png"/><Relationship Id="rId70" Type="http://schemas.openxmlformats.org/officeDocument/2006/relationships/image" Target="media/image29.png"/><Relationship Id="rId71" Type="http://schemas.openxmlformats.org/officeDocument/2006/relationships/image" Target="media/image30.png"/><Relationship Id="rId72" Type="http://schemas.openxmlformats.org/officeDocument/2006/relationships/hyperlink" Target="https://www.consultant.ru/document/cons_doc_LAW_500103/e064cc95b1bdffa4d12abb92fdfc56dea94198df/#dst100799" TargetMode="External"/><Relationship Id="rId73" Type="http://schemas.openxmlformats.org/officeDocument/2006/relationships/hyperlink" Target="https://www.consultant.ru/document/cons_doc_LAW_500103/cb0e1b809fc979301e6904220ab4c0d16804c6ce/#dst100835" TargetMode="External"/><Relationship Id="rId74" Type="http://schemas.openxmlformats.org/officeDocument/2006/relationships/hyperlink" Target="https://www.consultant.ru/document/cons_doc_LAW_497524/3552aeeb8f9dd503c3e6a8a2becdc58fc82ae2f7/#dst100014" TargetMode="External"/><Relationship Id="rId75" Type="http://schemas.openxmlformats.org/officeDocument/2006/relationships/hyperlink" Target="https://www.consultant.ru/document/cons_doc_LAW_500103/9c316deef8fe09d58678bc378da819323acb6700/#dst1049" TargetMode="External"/><Relationship Id="rId76" Type="http://schemas.openxmlformats.org/officeDocument/2006/relationships/hyperlink" Target="https://www.consultant.ru/document/cons_doc_LAW_500103/e064cc95b1bdffa4d12abb92fdfc56dea94198df/#dst1075" TargetMode="External"/><Relationship Id="rId77" Type="http://schemas.openxmlformats.org/officeDocument/2006/relationships/hyperlink" Target="https://www.consultant.ru/document/cons_doc_LAW_500103/e064cc95b1bdffa4d12abb92fdfc56dea94198df/#dst100826" TargetMode="External"/><Relationship Id="rId78" Type="http://schemas.openxmlformats.org/officeDocument/2006/relationships/hyperlink" Target="https://www.consultant.ru/document/cons_doc_LAW_500103/b4f7b7bc6f9a955d28d00a138f99961922f3e7ab/#dst1050" TargetMode="External"/><Relationship Id="rId79" Type="http://schemas.openxmlformats.org/officeDocument/2006/relationships/hyperlink" Target="https://www.consultant.ru/document/cons_doc_LAW_500103/e064cc95b1bdffa4d12abb92fdfc56dea94198df/#dst1072" TargetMode="External"/><Relationship Id="rId80" Type="http://schemas.openxmlformats.org/officeDocument/2006/relationships/hyperlink" Target="https://www.consultant.ru/document/cons_doc_LAW_500103/e064cc95b1bdffa4d12abb92fdfc56dea94198df/#dst242" TargetMode="External"/><Relationship Id="rId81" Type="http://schemas.openxmlformats.org/officeDocument/2006/relationships/hyperlink" Target="https://www.consultant.ru/document/cons_doc_LAW_500103/e064cc95b1bdffa4d12abb92fdfc56dea94198df/#dst242" TargetMode="External"/><Relationship Id="rId82" Type="http://schemas.openxmlformats.org/officeDocument/2006/relationships/hyperlink" Target="https://www.consultant.ru/document/cons_doc_LAW_500103/e064cc95b1bdffa4d12abb92fdfc56dea94198df/#dst242" TargetMode="External"/><Relationship Id="rId83" Type="http://schemas.openxmlformats.org/officeDocument/2006/relationships/hyperlink" Target="https://www.consultant.ru/document/cons_doc_LAW_472186/" TargetMode="External"/><Relationship Id="rId84" Type="http://schemas.openxmlformats.org/officeDocument/2006/relationships/hyperlink" Target="https://www.consultant.ru/document/cons_doc_LAW_497524/4ca5a43891aa0e66a39925833377c748ba66e9fc/#dst100336" TargetMode="External"/><Relationship Id="rId85" Type="http://schemas.openxmlformats.org/officeDocument/2006/relationships/hyperlink" Target="https://www.consultant.ru/document/cons_doc_LAW_472186/ec4cf957892ff7759ad5f1d977a374a0a3702873/#dst598" TargetMode="External"/><Relationship Id="rId86" Type="http://schemas.openxmlformats.org/officeDocument/2006/relationships/hyperlink" Target="https://www.consultant.ru/document/cons_doc_LAW_472186/ec4cf957892ff7759ad5f1d977a374a0a3702873/#dst90" TargetMode="External"/><Relationship Id="rId87" Type="http://schemas.openxmlformats.org/officeDocument/2006/relationships/hyperlink" Target="https://www.consultant.ru/document/cons_doc_LAW_472186/4c699f398227cd1d81abbe0f56d9f7b42656215f/#dst525" TargetMode="External"/><Relationship Id="rId88" Type="http://schemas.openxmlformats.org/officeDocument/2006/relationships/hyperlink" Target="https://www.consultant.ru/document/cons_doc_LAW_472186/4c699f398227cd1d81abbe0f56d9f7b42656215f/#dst302" TargetMode="External"/><Relationship Id="rId89" Type="http://schemas.openxmlformats.org/officeDocument/2006/relationships/hyperlink" Target="https://www.consultant.ru/document/cons_doc_LAW_497524/3552aeeb8f9dd503c3e6a8a2becdc58fc82ae2f7/#dst100014" TargetMode="External"/><Relationship Id="rId90" Type="http://schemas.openxmlformats.org/officeDocument/2006/relationships/hyperlink" Target="https://www.consultant.ru/document/cons_doc_LAW_500103/b4f7b7bc6f9a955d28d00a138f99961922f3e7ab/#dst1051" TargetMode="External"/><Relationship Id="rId91" Type="http://schemas.openxmlformats.org/officeDocument/2006/relationships/hyperlink" Target="https://www.consultant.ru/document/cons_doc_LAW_500103/e064cc95b1bdffa4d12abb92fdfc56dea94198df/#dst1353" TargetMode="External"/><Relationship Id="rId92" Type="http://schemas.openxmlformats.org/officeDocument/2006/relationships/hyperlink" Target="https://www.consultant.ru/document/cons_doc_LAW_500103/e064cc95b1bdffa4d12abb92fdfc56dea94198df/#dst243" TargetMode="External"/><Relationship Id="rId93" Type="http://schemas.openxmlformats.org/officeDocument/2006/relationships/hyperlink" Target="https://www.consultant.ru/document/cons_doc_LAW_483130/ea34776d79af4f4f0d38a7757aee0c9f2f92f17f/#dst3880" TargetMode="External"/><Relationship Id="rId94" Type="http://schemas.openxmlformats.org/officeDocument/2006/relationships/hyperlink" Target="https://www.consultant.ru/document/cons_doc_LAW_500103/6ae2d3f92c2e1591de4bfc1fc7d62fe155c8c0d1/#dst100643" TargetMode="External"/><Relationship Id="rId95" Type="http://schemas.openxmlformats.org/officeDocument/2006/relationships/hyperlink" Target="https://www.consultant.ru/document/cons_doc_LAW_500103/" TargetMode="External"/><Relationship Id="rId96" Type="http://schemas.openxmlformats.org/officeDocument/2006/relationships/hyperlink" Target="https://www.consultant.ru/document/cons_doc_LAW_500103/eb949852dbe72671f46c225fd6c28e9cecbe64da/#dst1279" TargetMode="External"/><Relationship Id="rId97" Type="http://schemas.openxmlformats.org/officeDocument/2006/relationships/hyperlink" Target="https://www.consultant.ru/document/cons_doc_LAW_500103/6ae2d3f92c2e1591de4bfc1fc7d62fe155c8c0d1/#dst574" TargetMode="External"/><Relationship Id="rId98" Type="http://schemas.openxmlformats.org/officeDocument/2006/relationships/hyperlink" Target="https://www.consultant.ru/document/cons_doc_LAW_500103/" TargetMode="External"/><Relationship Id="rId99" Type="http://schemas.openxmlformats.org/officeDocument/2006/relationships/hyperlink" Target="https://www.consultant.ru/document/cons_doc_LAW_500103/6ae2d3f92c2e1591de4bfc1fc7d62fe155c8c0d1/#dst971" TargetMode="External"/><Relationship Id="rId100" Type="http://schemas.openxmlformats.org/officeDocument/2006/relationships/hyperlink" Target="https://www.consultant.ru/document/cons_doc_LAW_500103/6c07b6c26bd6d54dd22077ca042a9a36f875d0c1/#dst100226" TargetMode="External"/><Relationship Id="rId101" Type="http://schemas.openxmlformats.org/officeDocument/2006/relationships/hyperlink" Target="https://www.consultant.ru/document/cons_doc_LAW_500103/6ae2d3f92c2e1591de4bfc1fc7d62fe155c8c0d1/#dst576" TargetMode="External"/><Relationship Id="rId102" Type="http://schemas.openxmlformats.org/officeDocument/2006/relationships/hyperlink" Target="https://www.consultant.ru/document/cons_doc_LAW_500103/eb949852dbe72671f46c225fd6c28e9cecbe64da/#dst614" TargetMode="External"/><Relationship Id="rId103" Type="http://schemas.openxmlformats.org/officeDocument/2006/relationships/hyperlink" Target="https://www.consultant.ru/document/cons_doc_LAW_483130/" TargetMode="External"/><Relationship Id="rId104" Type="http://schemas.openxmlformats.org/officeDocument/2006/relationships/hyperlink" Target="https://www.consultant.ru/document/cons_doc_LAW_500103/ea57a21333adf1cb58899ef6756784ed0e0bd645/#dst1335" TargetMode="External"/><Relationship Id="rId105" Type="http://schemas.openxmlformats.org/officeDocument/2006/relationships/hyperlink" Target="https://www.consultant.ru/document/cons_doc_LAW_475532/de7bd1366f504b34d5cd844b822115df15d11ae4/#dst759" TargetMode="External"/><Relationship Id="rId106" Type="http://schemas.openxmlformats.org/officeDocument/2006/relationships/hyperlink" Target="https://www.consultant.ru/document/cons_doc_LAW_475532/c26752a67e3ba0d48247ca7ff9e8f05a69e56a5c/#dst20515" TargetMode="External"/><Relationship Id="rId107" Type="http://schemas.openxmlformats.org/officeDocument/2006/relationships/hyperlink" Target="https://www.consultant.ru/document/cons_doc_LAW_475532/7f6aa2a30ed6c4b39a5890e07c7494d9c278b8ea/#dst5250" TargetMode="External"/><Relationship Id="rId108" Type="http://schemas.openxmlformats.org/officeDocument/2006/relationships/hyperlink" Target="https://www.consultant.ru/document/cons_doc_LAW_475532/7f6aa2a30ed6c4b39a5890e07c7494d9c278b8ea/#dst26249" TargetMode="External"/><Relationship Id="rId109" Type="http://schemas.openxmlformats.org/officeDocument/2006/relationships/hyperlink" Target="https://www.consultant.ru/document/cons_doc_LAW_475532/7f6aa2a30ed6c4b39a5890e07c7494d9c278b8ea/#dst26246" TargetMode="External"/><Relationship Id="rId110" Type="http://schemas.openxmlformats.org/officeDocument/2006/relationships/hyperlink" Target="https://www.consultant.ru/document/cons_doc_LAW_475532/7f6aa2a30ed6c4b39a5890e07c7494d9c278b8ea/#dst26249" TargetMode="External"/><Relationship Id="rId111" Type="http://schemas.openxmlformats.org/officeDocument/2006/relationships/hyperlink" Target="https://www.consultant.ru/document/cons_doc_LAW_500103/" TargetMode="External"/><Relationship Id="rId112" Type="http://schemas.openxmlformats.org/officeDocument/2006/relationships/hyperlink" Target="https://www.consultant.ru/document/cons_doc_LAW_500103/" TargetMode="External"/><Relationship Id="rId113" Type="http://schemas.openxmlformats.org/officeDocument/2006/relationships/hyperlink" Target="https://www.consultant.ru/document/cons_doc_LAW_500103/cec950b7d67461cec8418d349b532c4574a9db11/#dst100192" TargetMode="External"/><Relationship Id="rId114" Type="http://schemas.openxmlformats.org/officeDocument/2006/relationships/hyperlink" Target="https://www.consultant.ru/document/cons_doc_LAW_483130/" TargetMode="External"/><Relationship Id="rId115" Type="http://schemas.openxmlformats.org/officeDocument/2006/relationships/hyperlink" Target="https://www.consultant.ru/document/cons_doc_LAW_500103/" TargetMode="External"/><Relationship Id="rId116" Type="http://schemas.openxmlformats.org/officeDocument/2006/relationships/hyperlink" Target="https://www.consultant.ru/document/cons_doc_LAW_500103/6ae2d3f92c2e1591de4bfc1fc7d62fe155c8c0d1/#dst100643" TargetMode="External"/><Relationship Id="rId117" Type="http://schemas.openxmlformats.org/officeDocument/2006/relationships/hyperlink" Target="https://www.consultant.ru/document/cons_doc_LAW_475532/7f6aa2a30ed6c4b39a5890e07c7494d9c278b8ea/#dst26246" TargetMode="External"/><Relationship Id="rId118" Type="http://schemas.openxmlformats.org/officeDocument/2006/relationships/hyperlink" Target="https://www.consultant.ru/document/cons_doc_LAW_500103/6ae2d3f92c2e1591de4bfc1fc7d62fe155c8c0d1/#dst574" TargetMode="External"/><Relationship Id="rId119" Type="http://schemas.openxmlformats.org/officeDocument/2006/relationships/hyperlink" Target="https://www.consultant.ru/document/cons_doc_LAW_500103/6ae2d3f92c2e1591de4bfc1fc7d62fe155c8c0d1/#dst971" TargetMode="External"/><Relationship Id="rId120" Type="http://schemas.openxmlformats.org/officeDocument/2006/relationships/hyperlink" Target="https://www.consultant.ru/document/cons_doc_LAW_500103/6ae2d3f92c2e1591de4bfc1fc7d62fe155c8c0d1/#dst576" TargetMode="External"/><Relationship Id="rId121" Type="http://schemas.openxmlformats.org/officeDocument/2006/relationships/hyperlink" Target="https://www.consultant.ru/document/cons_doc_LAW_500103/eb949852dbe72671f46c225fd6c28e9cecbe64da/#dst614" TargetMode="External"/><Relationship Id="rId122" Type="http://schemas.openxmlformats.org/officeDocument/2006/relationships/hyperlink" Target="https://www.consultant.ru/document/cons_doc_LAW_475532/7f6aa2a30ed6c4b39a5890e07c7494d9c278b8ea/#dst26249" TargetMode="External"/><Relationship Id="rId123" Type="http://schemas.openxmlformats.org/officeDocument/2006/relationships/hyperlink" Target="https://www.consultant.ru/document/cons_doc_LAW_500103/6ae2d3f92c2e1591de4bfc1fc7d62fe155c8c0d1/#dst971" TargetMode="External"/><Relationship Id="rId124" Type="http://schemas.openxmlformats.org/officeDocument/2006/relationships/hyperlink" Target="https://www.consultant.ru/document/cons_doc_LAW_500103/6ae2d3f92c2e1591de4bfc1fc7d62fe155c8c0d1/#dst971" TargetMode="External"/><Relationship Id="rId125" Type="http://schemas.openxmlformats.org/officeDocument/2006/relationships/hyperlink" Target="https://www.consultant.ru/document/cons_doc_LAW_493331/a14bd2ca3dec44a27a39d623c13302daee66d2bd/#dst100019" TargetMode="External"/><Relationship Id="rId126" Type="http://schemas.openxmlformats.org/officeDocument/2006/relationships/hyperlink" Target="https://www.consultant.ru/document/cons_doc_LAW_500103/e064cc95b1bdffa4d12abb92fdfc56dea94198df/#dst100799" TargetMode="External"/><Relationship Id="rId127" Type="http://schemas.openxmlformats.org/officeDocument/2006/relationships/hyperlink" Target="https://www.consultant.ru/document/cons_doc_LAW_500103/cb0e1b809fc979301e6904220ab4c0d16804c6ce/#dst100835" TargetMode="External"/><Relationship Id="rId128" Type="http://schemas.openxmlformats.org/officeDocument/2006/relationships/hyperlink" Target="https://www.consultant.ru/document/cons_doc_LAW_497524/3552aeeb8f9dd503c3e6a8a2becdc58fc82ae2f7/#dst100014" TargetMode="External"/><Relationship Id="rId129" Type="http://schemas.openxmlformats.org/officeDocument/2006/relationships/hyperlink" Target="https://www.consultant.ru/document/cons_doc_LAW_472186/" TargetMode="External"/><Relationship Id="rId130" Type="http://schemas.openxmlformats.org/officeDocument/2006/relationships/hyperlink" Target="https://www.consultant.ru/document/cons_doc_LAW_472186/25ecf26d83a97949eb25ed5c91797445c91f8ddd/#dst449" TargetMode="External"/><Relationship Id="rId131" Type="http://schemas.openxmlformats.org/officeDocument/2006/relationships/hyperlink" Target="https://www.consultant.ru/document/cons_doc_LAW_472186/25ecf26d83a97949eb25ed5c91797445c91f8ddd/#dst464" TargetMode="External"/><Relationship Id="rId132" Type="http://schemas.openxmlformats.org/officeDocument/2006/relationships/hyperlink" Target="https://www.consultant.ru/document/cons_doc_LAW_497524/1390c6c8ca885572b0b7ad20e2a8b3dad17a79d1/#dst100522" TargetMode="External"/><Relationship Id="rId133" Type="http://schemas.openxmlformats.org/officeDocument/2006/relationships/hyperlink" Target="https://www.consultant.ru/document/cons_doc_LAW_500103/e064cc95b1bdffa4d12abb92fdfc56dea94198df/#dst1075" TargetMode="External"/><Relationship Id="rId134" Type="http://schemas.openxmlformats.org/officeDocument/2006/relationships/hyperlink" Target="https://www.consultant.ru/document/cons_doc_LAW_500103/e064cc95b1bdffa4d12abb92fdfc56dea94198df/#dst1075" TargetMode="External"/><Relationship Id="rId135" Type="http://schemas.openxmlformats.org/officeDocument/2006/relationships/hyperlink" Target="https://www.consultant.ru/document/cons_doc_LAW_482692/2ff07a69809b93673d729df06ffeb12445698a7b/#dst101140" TargetMode="External"/><Relationship Id="rId136" Type="http://schemas.openxmlformats.org/officeDocument/2006/relationships/hyperlink" Target="https://www.consultant.ru/document/cons_doc_LAW_482692/0cc570be9e0effcaa271f91bc50df99791b6c774/#dst101157" TargetMode="External"/><Relationship Id="rId137" Type="http://schemas.openxmlformats.org/officeDocument/2006/relationships/hyperlink" Target="https://www.consultant.ru/document/cons_doc_LAW_482692/f7871578ce9b026c450f64790704bd48c7d94bcb/#dst554" TargetMode="External"/><Relationship Id="rId138" Type="http://schemas.openxmlformats.org/officeDocument/2006/relationships/hyperlink" Target="https://www.consultant.ru/document/cons_doc_LAW_501324/886c3f46d3618505423dae8baff0b76754c1c231/#dst100040" TargetMode="External"/><Relationship Id="rId139" Type="http://schemas.openxmlformats.org/officeDocument/2006/relationships/hyperlink" Target="https://www.consultant.ru/document/cons_doc_LAW_500103/e064cc95b1bdffa4d12abb92fdfc56dea94198df/#dst1075" TargetMode="External"/><Relationship Id="rId140" Type="http://schemas.openxmlformats.org/officeDocument/2006/relationships/hyperlink" Target="https://www.consultant.ru/document/cons_doc_LAW_472186/57cfe57e2aab59c92d9eaa8061b4023083c4ea09/#dst66" TargetMode="External"/><Relationship Id="rId141" Type="http://schemas.openxmlformats.org/officeDocument/2006/relationships/hyperlink" Target="https://www.consultant.ru/document/cons_doc_LAW_500103/b6cb723e03231cd3029bbe4a271c3554c68ab85f/#dst100015" TargetMode="External"/><Relationship Id="rId142" Type="http://schemas.openxmlformats.org/officeDocument/2006/relationships/hyperlink" Target="https://www.consultant.ru/document/cons_doc_LAW_485370/610acad3c9b022a6c9245b9b75ff412b82bd64f0/#dst101022" TargetMode="External"/><Relationship Id="rId143" Type="http://schemas.openxmlformats.org/officeDocument/2006/relationships/hyperlink" Target="https://www.consultant.ru/document/cons_doc_LAW_485370/610acad3c9b022a6c9245b9b75ff412b82bd64f0/#dst101034" TargetMode="External"/><Relationship Id="rId144" Type="http://schemas.openxmlformats.org/officeDocument/2006/relationships/hyperlink" Target="https://www.consultant.ru/document/cons_doc_LAW_472186/25ecf26d83a97949eb25ed5c91797445c91f8ddd/#dst457" TargetMode="External"/><Relationship Id="rId145" Type="http://schemas.openxmlformats.org/officeDocument/2006/relationships/hyperlink" Target="https://regulation.gov.ru/Regulation/Npa/PublicView?npaID=155703" TargetMode="External"/><Relationship Id="rId146" Type="http://schemas.openxmlformats.org/officeDocument/2006/relationships/hyperlink" Target="https://www.gosuslugi.ru/landing/forcitizens" TargetMode="External"/><Relationship Id="rId147" Type="http://schemas.openxmlformats.org/officeDocument/2006/relationships/hyperlink" Target="https://www.gosuslugi.ru/landing/redevelopment" TargetMode="External"/><Relationship Id="rId148" Type="http://schemas.openxmlformats.org/officeDocument/2006/relationships/hyperlink" Target="https://www.gosuslugi.ru/stroika" TargetMode="External"/><Relationship Id="rId149" Type="http://schemas.openxmlformats.org/officeDocument/2006/relationships/hyperlink" Target="https://www.gosuslugi.ru/online-egrn" TargetMode="External"/><Relationship Id="rId150" Type="http://schemas.openxmlformats.org/officeDocument/2006/relationships/hyperlink" Target="https://www.gosuslugi.ru/landing/forbusiness" TargetMode="External"/><Relationship Id="rId151" Type="http://schemas.openxmlformats.org/officeDocument/2006/relationships/hyperlink" Target="http://publication.pravo.gov.ru/document/0001202407220023?ysclid=m98dratup3180622058" TargetMode="External"/><Relationship Id="rId152" Type="http://schemas.openxmlformats.org/officeDocument/2006/relationships/hyperlink" Target="https://www.gosuslugi.ru/help/faq/egrn/101728" TargetMode="External"/><Relationship Id="rId153" Type="http://schemas.openxmlformats.org/officeDocument/2006/relationships/hyperlink" Target="https://kadastr.ru/services/sotsialnaya-gazifikatsiya-snt/" TargetMode="External"/><Relationship Id="rId154" Type="http://schemas.openxmlformats.org/officeDocument/2006/relationships/hyperlink" Target="http://publication.pravo.gov.ru/document/0001202502270026" TargetMode="External"/><Relationship Id="rId155" Type="http://schemas.openxmlformats.org/officeDocument/2006/relationships/hyperlink" Target="https://ki-rf.ru/wp-content/uploads/2025/04/%D1%81%D0%BF%D0%B8%D1%81%D0%BE%D0%BA-%D0%B2%D0%BE%D0%BB%D0%BE%D0%BD%D1%82%D0%B5%D1%80%D0%BE%D0%B2.pdf" TargetMode="External"/><Relationship Id="rId156" Type="http://schemas.openxmlformats.org/officeDocument/2006/relationships/hyperlink" Target="https://kadastr.ru/services/vyezdnoe-obsluzhivanie/" TargetMode="External"/><Relationship Id="rId157" Type="http://schemas.openxmlformats.org/officeDocument/2006/relationships/hyperlink" Target="https://rosreestr.gov.ru/activity/gosudarstvennoe-upravlenie-v-sfere-ispolzovaniya-i-okhrany-zemel/poluchenie-svedeniy-iz-gosudarstvennogo-fonda-dannykh-poluchennykh-v-rezultate-zemleustroystva/" TargetMode="External"/><Relationship Id="rId158" Type="http://schemas.openxmlformats.org/officeDocument/2006/relationships/hyperlink" Target="https://www.rustore.ru/catalog/app/ru.rosreestr.mobile" TargetMode="External"/><Relationship Id="rId159" Type="http://schemas.openxmlformats.org/officeDocument/2006/relationships/hyperlink" Target="https://play.google.com/store/apps/details?id=ru.rosreestr.mobile" TargetMode="External"/><Relationship Id="rId160" Type="http://schemas.openxmlformats.org/officeDocument/2006/relationships/hyperlink" Target="https://vk.com/nsktv_ru?w=wall-38320907_86768" TargetMode="External"/><Relationship Id="rId161" Type="http://schemas.openxmlformats.org/officeDocument/2006/relationships/hyperlink" Target="https://rosreestr.gov.ru/" TargetMode="External"/><Relationship Id="rId162" Type="http://schemas.openxmlformats.org/officeDocument/2006/relationships/hyperlink" Target="https://t.me/rosreestr_nsk/2913" TargetMode="External"/><Relationship Id="rId163" Type="http://schemas.openxmlformats.org/officeDocument/2006/relationships/hyperlink" Target="https://t.me/rosreestr_nsk/2771" TargetMode="External"/><Relationship Id="rId164" Type="http://schemas.openxmlformats.org/officeDocument/2006/relationships/hyperlink" Target="https://vk.com/wall-118967869_3358" TargetMode="External"/><Relationship Id="rId165" Type="http://schemas.openxmlformats.org/officeDocument/2006/relationships/hyperlink" Target="https://nspd.gov.ru/" TargetMode="External"/><Relationship Id="rId166" Type="http://schemas.openxmlformats.org/officeDocument/2006/relationships/hyperlink" Target="https://nspd.gov.ru/" TargetMode="External"/><Relationship Id="rId167" Type="http://schemas.openxmlformats.org/officeDocument/2006/relationships/hyperlink" Target="https://rosreestr.gov.ru/" TargetMode="External"/><Relationship Id="rId168" Type="http://schemas.openxmlformats.org/officeDocument/2006/relationships/hyperlink" Target="https://kadastr.ru/services/gosudarstvennyy-katalog-geograficheskikh-nazvaniy/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D1D05F-EA87-412F-94C7-22C86E3B3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Р7-Офис/2024.3.2.551</Application>
  <Company>Microsoft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ziaa</dc:creator>
  <cp:keywords/>
  <dc:description/>
  <cp:revision>69</cp:revision>
  <dcterms:created xsi:type="dcterms:W3CDTF">2023-01-26T03:20:00Z</dcterms:created>
  <dcterms:modified xsi:type="dcterms:W3CDTF">2025-05-06T09:11:30Z</dcterms:modified>
</cp:coreProperties>
</file>